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111" w:rsidRPr="004B682B" w:rsidRDefault="004B682B" w:rsidP="00C83111">
      <w:pPr>
        <w:jc w:val="center"/>
        <w:rPr>
          <w:b/>
          <w:sz w:val="28"/>
          <w:lang w:val="en-US"/>
        </w:rPr>
      </w:pPr>
      <w:r w:rsidRPr="004B682B">
        <w:rPr>
          <w:b/>
          <w:sz w:val="28"/>
          <w:lang w:val="en-US"/>
        </w:rPr>
        <w:t>Study Protocoll „Non-HFE Hemochromatosis Registry“</w:t>
      </w:r>
    </w:p>
    <w:p w:rsidR="00C83111" w:rsidRDefault="00C83111" w:rsidP="004C0B1B">
      <w:pPr>
        <w:jc w:val="both"/>
        <w:rPr>
          <w:b/>
        </w:rPr>
      </w:pPr>
      <w:bookmarkStart w:id="0" w:name="_GoBack"/>
      <w:bookmarkEnd w:id="0"/>
    </w:p>
    <w:p w:rsidR="004B682B" w:rsidRDefault="004B682B" w:rsidP="004B682B">
      <w:pPr>
        <w:pStyle w:val="Listenabsatz"/>
        <w:numPr>
          <w:ilvl w:val="0"/>
          <w:numId w:val="4"/>
        </w:numPr>
        <w:autoSpaceDE w:val="0"/>
        <w:autoSpaceDN w:val="0"/>
        <w:adjustRightInd w:val="0"/>
        <w:spacing w:after="0" w:line="240" w:lineRule="auto"/>
        <w:ind w:left="284" w:hanging="284"/>
        <w:jc w:val="both"/>
        <w:rPr>
          <w:rFonts w:ascii="ArialUnicodeMS" w:hAnsi="ArialUnicodeMS" w:cs="ArialUnicodeMS"/>
          <w:b/>
          <w:sz w:val="24"/>
          <w:szCs w:val="24"/>
          <w:lang w:val="en-US"/>
        </w:rPr>
      </w:pPr>
      <w:r w:rsidRPr="004B682B">
        <w:rPr>
          <w:rFonts w:ascii="ArialUnicodeMS" w:hAnsi="ArialUnicodeMS" w:cs="ArialUnicodeMS"/>
          <w:b/>
          <w:sz w:val="24"/>
          <w:szCs w:val="24"/>
          <w:lang w:val="en-US"/>
        </w:rPr>
        <w:t>Background</w:t>
      </w:r>
      <w:r w:rsidR="00440395">
        <w:rPr>
          <w:rFonts w:ascii="ArialUnicodeMS" w:hAnsi="ArialUnicodeMS" w:cs="ArialUnicodeMS"/>
          <w:b/>
          <w:sz w:val="24"/>
          <w:szCs w:val="24"/>
          <w:lang w:val="en-US"/>
        </w:rPr>
        <w:t xml:space="preserve"> </w:t>
      </w:r>
    </w:p>
    <w:p w:rsidR="004B682B" w:rsidRPr="004B682B" w:rsidRDefault="004B682B" w:rsidP="004B682B">
      <w:pPr>
        <w:pStyle w:val="Listenabsatz"/>
        <w:autoSpaceDE w:val="0"/>
        <w:autoSpaceDN w:val="0"/>
        <w:adjustRightInd w:val="0"/>
        <w:spacing w:after="0" w:line="240" w:lineRule="auto"/>
        <w:ind w:left="284"/>
        <w:jc w:val="both"/>
        <w:rPr>
          <w:rFonts w:ascii="ArialUnicodeMS" w:hAnsi="ArialUnicodeMS" w:cs="ArialUnicodeMS"/>
          <w:b/>
          <w:sz w:val="24"/>
          <w:szCs w:val="24"/>
          <w:lang w:val="en-US"/>
        </w:rPr>
      </w:pPr>
    </w:p>
    <w:p w:rsidR="00440395" w:rsidRPr="004B682B" w:rsidRDefault="00440395" w:rsidP="00440395">
      <w:pPr>
        <w:autoSpaceDE w:val="0"/>
        <w:autoSpaceDN w:val="0"/>
        <w:adjustRightInd w:val="0"/>
        <w:spacing w:after="0" w:line="240" w:lineRule="auto"/>
        <w:jc w:val="both"/>
        <w:rPr>
          <w:rFonts w:ascii="ArialUnicodeMS" w:hAnsi="ArialUnicodeMS" w:cs="ArialUnicodeMS"/>
          <w:sz w:val="24"/>
          <w:szCs w:val="24"/>
          <w:lang w:val="en-US"/>
        </w:rPr>
      </w:pPr>
      <w:r w:rsidRPr="004B682B">
        <w:rPr>
          <w:rFonts w:ascii="ArialUnicodeMS" w:hAnsi="ArialUnicodeMS" w:cs="ArialUnicodeMS"/>
          <w:sz w:val="24"/>
          <w:szCs w:val="24"/>
          <w:lang w:val="en-US"/>
        </w:rPr>
        <w:t>Hepatic iron overload is an important risk factor for the progression of chronic liver diseases from</w:t>
      </w:r>
      <w:r>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fibrosis to cirrhosis</w:t>
      </w:r>
      <w:r>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[7, 10] and the hallmark of liver disease in patients with hereditary hemochromatosis</w:t>
      </w:r>
      <w:r>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[1]. Genetic</w:t>
      </w:r>
      <w:r>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studies have shown that up to 85 % of patients with the clinical diagnosis ‘hemochromatosis’ are homozygous for the</w:t>
      </w:r>
      <w:r>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common C282Y polymorphism of the HFE gene</w:t>
      </w:r>
      <w:r>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[4]. Hence, the disease is now referred to as HFE-associated</w:t>
      </w:r>
      <w:r>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hemochromatosis</w:t>
      </w:r>
      <w:r>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[1]. Identification of the HFE gene has transformed clinical management for hemochromatosis, enabled</w:t>
      </w:r>
      <w:r>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earlier diagnosis and probably improved the disease course</w:t>
      </w:r>
      <w:r>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[3, 9].</w:t>
      </w:r>
    </w:p>
    <w:p w:rsidR="00440395" w:rsidRPr="004B682B" w:rsidRDefault="00440395" w:rsidP="00440395">
      <w:pPr>
        <w:autoSpaceDE w:val="0"/>
        <w:autoSpaceDN w:val="0"/>
        <w:adjustRightInd w:val="0"/>
        <w:spacing w:after="0" w:line="240" w:lineRule="auto"/>
        <w:jc w:val="both"/>
        <w:rPr>
          <w:rFonts w:ascii="ArialUnicodeMS" w:hAnsi="ArialUnicodeMS" w:cs="ArialUnicodeMS"/>
          <w:sz w:val="24"/>
          <w:szCs w:val="24"/>
          <w:lang w:val="en-US"/>
        </w:rPr>
      </w:pPr>
      <w:r w:rsidRPr="004B682B">
        <w:rPr>
          <w:rFonts w:ascii="ArialUnicodeMS" w:hAnsi="ArialUnicodeMS" w:cs="ArialUnicodeMS"/>
          <w:sz w:val="24"/>
          <w:szCs w:val="24"/>
          <w:lang w:val="en-US"/>
        </w:rPr>
        <w:t>However, in addition to HFE-associated hemochromatosis, other genetic conditions, which are clinically and</w:t>
      </w:r>
      <w:r>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pathologically reminiscent of classical HFE hemochromatosis, have been identified in patients homozygous or compound</w:t>
      </w:r>
      <w:r>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heterozygous for mutations in TFR2, HJV or HAMP. These disorders are referred to as non-HFE hemochromatosis</w:t>
      </w:r>
      <w:r>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[2].</w:t>
      </w:r>
    </w:p>
    <w:p w:rsidR="00440395" w:rsidRPr="004B682B" w:rsidRDefault="00440395" w:rsidP="00440395">
      <w:pPr>
        <w:autoSpaceDE w:val="0"/>
        <w:autoSpaceDN w:val="0"/>
        <w:adjustRightInd w:val="0"/>
        <w:spacing w:after="0" w:line="240" w:lineRule="auto"/>
        <w:jc w:val="both"/>
        <w:rPr>
          <w:rFonts w:ascii="ArialUnicodeMS" w:hAnsi="ArialUnicodeMS" w:cs="ArialUnicodeMS"/>
          <w:sz w:val="24"/>
          <w:szCs w:val="24"/>
          <w:lang w:val="en-US"/>
        </w:rPr>
      </w:pPr>
      <w:r w:rsidRPr="004B682B">
        <w:rPr>
          <w:rFonts w:ascii="ArialUnicodeMS" w:hAnsi="ArialUnicodeMS" w:cs="ArialUnicodeMS"/>
          <w:sz w:val="24"/>
          <w:szCs w:val="24"/>
          <w:lang w:val="en-US"/>
        </w:rPr>
        <w:t>Ferroportin disease is another disorder of iron metabolism caused by heterozygous mutations in the SLC40A1 gene</w:t>
      </w:r>
      <w:r>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[8], In</w:t>
      </w:r>
      <w:r>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contrast to HFE and non-HFE associated hemochromatosis variants which are typically associated with high transferrin</w:t>
      </w:r>
      <w:r>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saturation, transferrin saturation is variable and can be low in ferroportin disease. Invariably low transferrin saturation and</w:t>
      </w:r>
      <w:r>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severe hepatic iron overload is also typical in the autosomal recessive iron disorder aceruloplasminemia</w:t>
      </w:r>
      <w:r>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[6].</w:t>
      </w:r>
    </w:p>
    <w:p w:rsidR="00440395" w:rsidRPr="004B682B" w:rsidRDefault="00440395" w:rsidP="00440395">
      <w:pPr>
        <w:autoSpaceDE w:val="0"/>
        <w:autoSpaceDN w:val="0"/>
        <w:adjustRightInd w:val="0"/>
        <w:spacing w:after="0" w:line="240" w:lineRule="auto"/>
        <w:jc w:val="both"/>
        <w:rPr>
          <w:rFonts w:ascii="ArialUnicodeMS" w:hAnsi="ArialUnicodeMS" w:cs="ArialUnicodeMS"/>
          <w:sz w:val="24"/>
          <w:szCs w:val="24"/>
          <w:lang w:val="en-US"/>
        </w:rPr>
      </w:pPr>
      <w:r w:rsidRPr="004B682B">
        <w:rPr>
          <w:rFonts w:ascii="ArialUnicodeMS" w:hAnsi="ArialUnicodeMS" w:cs="ArialUnicodeMS"/>
          <w:sz w:val="24"/>
          <w:szCs w:val="24"/>
          <w:lang w:val="en-US"/>
        </w:rPr>
        <w:t>In comparison to HFE associated hemochromatosis, which has an estimated prevalence of 1:1000, non-HFE</w:t>
      </w:r>
      <w:r>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hemochromatosis, ferroportin disease and aceruloplasminemia are relatively rare, but are increasingly recognized to</w:t>
      </w:r>
      <w:r>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contribute to the overall burden of iron overload disorders, especially in Southern and Central Europe where the</w:t>
      </w:r>
      <w:r>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prevalence of HFE mutations is lower. Moreover, uncertainties about the true prevalence and disease management (in</w:t>
      </w:r>
      <w:r>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contrast to HFE-hemochromatosis) present a significant clinical challenge. The ultimate goal of this Registry is to improve</w:t>
      </w:r>
      <w:r>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patient care by comprehensively categorizing non-HFE liver iron overload disease across Europe, which will enable an</w:t>
      </w:r>
      <w:r>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evidence-based revision of clinical guidelines.</w:t>
      </w:r>
    </w:p>
    <w:p w:rsidR="00440395" w:rsidRDefault="00440395" w:rsidP="00440395">
      <w:pPr>
        <w:autoSpaceDE w:val="0"/>
        <w:autoSpaceDN w:val="0"/>
        <w:adjustRightInd w:val="0"/>
        <w:spacing w:after="0" w:line="240" w:lineRule="auto"/>
        <w:jc w:val="both"/>
        <w:rPr>
          <w:rFonts w:ascii="ArialUnicodeMS" w:hAnsi="ArialUnicodeMS" w:cs="ArialUnicodeMS"/>
          <w:sz w:val="24"/>
          <w:szCs w:val="24"/>
          <w:lang w:val="en-US"/>
        </w:rPr>
      </w:pPr>
      <w:r w:rsidRPr="004B682B">
        <w:rPr>
          <w:rFonts w:ascii="ArialUnicodeMS" w:hAnsi="ArialUnicodeMS" w:cs="ArialUnicodeMS"/>
          <w:sz w:val="24"/>
          <w:szCs w:val="24"/>
          <w:lang w:val="en-US"/>
        </w:rPr>
        <w:t>The number of patients with genetically confirmed non-HFE hemochromatosis, ferroportin disease or aceruloplasminemia</w:t>
      </w:r>
      <w:r>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is increasing, because novel sequencing strategies are increasingly used in the diagnostic workup of patients with</w:t>
      </w:r>
      <w:r>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confirmed or suspected hepatic iron overload. Further, clinical application of full exome sequencing has further increases</w:t>
      </w:r>
      <w:r>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the number of aberrations found incidentally in genes associated with non-HFE hemochromatosis</w:t>
      </w:r>
      <w:r>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 xml:space="preserve">[5]. </w:t>
      </w:r>
      <w:r w:rsidRPr="00440395">
        <w:rPr>
          <w:rFonts w:ascii="ArialUnicodeMS" w:hAnsi="ArialUnicodeMS" w:cs="ArialUnicodeMS"/>
          <w:sz w:val="24"/>
          <w:szCs w:val="24"/>
          <w:lang w:val="en-US"/>
        </w:rPr>
        <w:t>Interpretation of</w:t>
      </w:r>
      <w:r>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such test results and identification of pathogenic mutations can be guided by structured collection and documentation of</w:t>
      </w:r>
      <w:r>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cases in a registry. Such a registry will help to establish disease penetrance, expressivity of certain mutations as well as</w:t>
      </w:r>
      <w:r>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clinical presentation and prognosis of different non-HFE variants. Most importantly, it will be the basis of a collaborative</w:t>
      </w:r>
      <w:r>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effort to elucidate the genetic architecture of these complex diseases.</w:t>
      </w:r>
    </w:p>
    <w:p w:rsidR="00440395" w:rsidRPr="004B682B" w:rsidRDefault="00440395" w:rsidP="00440395">
      <w:pPr>
        <w:autoSpaceDE w:val="0"/>
        <w:autoSpaceDN w:val="0"/>
        <w:adjustRightInd w:val="0"/>
        <w:spacing w:after="0" w:line="240" w:lineRule="auto"/>
        <w:jc w:val="both"/>
        <w:rPr>
          <w:rFonts w:ascii="ArialUnicodeMS" w:hAnsi="ArialUnicodeMS" w:cs="ArialUnicodeMS"/>
          <w:sz w:val="24"/>
          <w:szCs w:val="24"/>
          <w:lang w:val="en-US"/>
        </w:rPr>
      </w:pPr>
    </w:p>
    <w:p w:rsidR="00440395" w:rsidRDefault="00440395" w:rsidP="00440395">
      <w:pPr>
        <w:autoSpaceDE w:val="0"/>
        <w:autoSpaceDN w:val="0"/>
        <w:adjustRightInd w:val="0"/>
        <w:spacing w:after="0" w:line="240" w:lineRule="auto"/>
        <w:jc w:val="both"/>
        <w:rPr>
          <w:rFonts w:ascii="ArialUnicodeMS" w:hAnsi="ArialUnicodeMS" w:cs="ArialUnicodeMS"/>
          <w:sz w:val="24"/>
          <w:szCs w:val="24"/>
          <w:lang w:val="en-US"/>
        </w:rPr>
      </w:pPr>
      <w:r w:rsidRPr="004B682B">
        <w:rPr>
          <w:rFonts w:ascii="ArialUnicodeMS" w:hAnsi="ArialUnicodeMS" w:cs="ArialUnicodeMS"/>
          <w:sz w:val="24"/>
          <w:szCs w:val="24"/>
          <w:lang w:val="en-US"/>
        </w:rPr>
        <w:t>The aim of the proposed registry is to collect structured information on the clinical presentation, biochemistry, radiology,</w:t>
      </w:r>
      <w:r>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family history, genetics and histology of patients with non-HFE hemochromatosis, ferroportin disease and</w:t>
      </w:r>
      <w:r>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lastRenderedPageBreak/>
        <w:t>aceruloplasminemia. Collecting follow-up information on these patients will help to understand the natural course of each</w:t>
      </w:r>
      <w:r>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disease variant and determine the effect of specific interventions, and ultimately facilitate more informed clinical</w:t>
      </w:r>
      <w:r>
        <w:rPr>
          <w:rFonts w:ascii="ArialUnicodeMS" w:hAnsi="ArialUnicodeMS" w:cs="ArialUnicodeMS"/>
          <w:sz w:val="24"/>
          <w:szCs w:val="24"/>
          <w:lang w:val="en-US"/>
        </w:rPr>
        <w:t xml:space="preserve"> </w:t>
      </w:r>
      <w:r w:rsidRPr="00440395">
        <w:rPr>
          <w:rFonts w:ascii="ArialUnicodeMS" w:hAnsi="ArialUnicodeMS" w:cs="ArialUnicodeMS"/>
          <w:sz w:val="24"/>
          <w:szCs w:val="24"/>
          <w:lang w:val="en-US"/>
        </w:rPr>
        <w:t>guidelines.</w:t>
      </w:r>
    </w:p>
    <w:p w:rsidR="004B682B" w:rsidRDefault="004B682B" w:rsidP="004B682B">
      <w:pPr>
        <w:autoSpaceDE w:val="0"/>
        <w:autoSpaceDN w:val="0"/>
        <w:adjustRightInd w:val="0"/>
        <w:spacing w:after="0" w:line="240" w:lineRule="auto"/>
        <w:jc w:val="both"/>
        <w:rPr>
          <w:rFonts w:ascii="ArialUnicodeMS" w:hAnsi="ArialUnicodeMS" w:cs="ArialUnicodeMS"/>
          <w:sz w:val="24"/>
          <w:szCs w:val="24"/>
          <w:lang w:val="en-US"/>
        </w:rPr>
      </w:pPr>
    </w:p>
    <w:p w:rsidR="00440395" w:rsidRDefault="00440395" w:rsidP="004B682B">
      <w:pPr>
        <w:autoSpaceDE w:val="0"/>
        <w:autoSpaceDN w:val="0"/>
        <w:adjustRightInd w:val="0"/>
        <w:spacing w:after="0" w:line="240" w:lineRule="auto"/>
        <w:jc w:val="both"/>
        <w:rPr>
          <w:rFonts w:ascii="ArialUnicodeMS" w:hAnsi="ArialUnicodeMS" w:cs="ArialUnicodeMS"/>
          <w:b/>
          <w:sz w:val="24"/>
          <w:szCs w:val="24"/>
          <w:lang w:val="en-US"/>
        </w:rPr>
      </w:pPr>
      <w:r w:rsidRPr="00440395">
        <w:rPr>
          <w:rFonts w:ascii="ArialUnicodeMS" w:hAnsi="ArialUnicodeMS" w:cs="ArialUnicodeMS"/>
          <w:b/>
          <w:sz w:val="24"/>
          <w:szCs w:val="24"/>
          <w:lang w:val="en-US"/>
        </w:rPr>
        <w:t>2. A</w:t>
      </w:r>
      <w:r>
        <w:rPr>
          <w:rFonts w:ascii="ArialUnicodeMS" w:hAnsi="ArialUnicodeMS" w:cs="ArialUnicodeMS"/>
          <w:b/>
          <w:sz w:val="24"/>
          <w:szCs w:val="24"/>
          <w:lang w:val="en-US"/>
        </w:rPr>
        <w:t>i</w:t>
      </w:r>
      <w:r w:rsidRPr="00440395">
        <w:rPr>
          <w:rFonts w:ascii="ArialUnicodeMS" w:hAnsi="ArialUnicodeMS" w:cs="ArialUnicodeMS"/>
          <w:b/>
          <w:sz w:val="24"/>
          <w:szCs w:val="24"/>
          <w:lang w:val="en-US"/>
        </w:rPr>
        <w:t>ms</w:t>
      </w:r>
    </w:p>
    <w:p w:rsidR="00440395" w:rsidRDefault="00440395" w:rsidP="004B682B">
      <w:pPr>
        <w:autoSpaceDE w:val="0"/>
        <w:autoSpaceDN w:val="0"/>
        <w:adjustRightInd w:val="0"/>
        <w:spacing w:after="0" w:line="240" w:lineRule="auto"/>
        <w:jc w:val="both"/>
        <w:rPr>
          <w:rFonts w:ascii="ArialUnicodeMS" w:hAnsi="ArialUnicodeMS" w:cs="ArialUnicodeMS"/>
          <w:b/>
          <w:sz w:val="24"/>
          <w:szCs w:val="24"/>
          <w:lang w:val="en-US"/>
        </w:rPr>
      </w:pPr>
    </w:p>
    <w:p w:rsidR="00440395" w:rsidRPr="004B682B" w:rsidRDefault="00440395" w:rsidP="00440395">
      <w:pPr>
        <w:autoSpaceDE w:val="0"/>
        <w:autoSpaceDN w:val="0"/>
        <w:adjustRightInd w:val="0"/>
        <w:spacing w:after="0" w:line="240" w:lineRule="auto"/>
        <w:jc w:val="both"/>
        <w:rPr>
          <w:rFonts w:ascii="ArialUnicodeMS" w:hAnsi="ArialUnicodeMS" w:cs="ArialUnicodeMS"/>
          <w:sz w:val="24"/>
          <w:szCs w:val="24"/>
          <w:lang w:val="en-US"/>
        </w:rPr>
      </w:pPr>
      <w:r w:rsidRPr="00440395">
        <w:rPr>
          <w:rFonts w:ascii="ArialUnicodeMS" w:hAnsi="ArialUnicodeMS" w:cs="ArialUnicodeMS"/>
          <w:sz w:val="26"/>
          <w:szCs w:val="24"/>
          <w:lang w:val="en-US"/>
        </w:rPr>
        <w:t xml:space="preserve">1. </w:t>
      </w:r>
      <w:r w:rsidRPr="004B682B">
        <w:rPr>
          <w:rFonts w:ascii="ArialUnicodeMS" w:hAnsi="ArialUnicodeMS" w:cs="ArialUnicodeMS"/>
          <w:sz w:val="24"/>
          <w:szCs w:val="24"/>
          <w:lang w:val="en-US"/>
        </w:rPr>
        <w:t>What is the clinical presentation of non-HFE associated hepatic iron overload diseases (non HFE</w:t>
      </w:r>
      <w:r>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hemochromatosis, ferroportin disease and acoeruloplasminemia)?</w:t>
      </w:r>
    </w:p>
    <w:p w:rsidR="00440395" w:rsidRPr="004B682B" w:rsidRDefault="00440395" w:rsidP="00440395">
      <w:pPr>
        <w:autoSpaceDE w:val="0"/>
        <w:autoSpaceDN w:val="0"/>
        <w:adjustRightInd w:val="0"/>
        <w:spacing w:after="0" w:line="240" w:lineRule="auto"/>
        <w:jc w:val="both"/>
        <w:rPr>
          <w:rFonts w:ascii="ArialUnicodeMS" w:hAnsi="ArialUnicodeMS" w:cs="ArialUnicodeMS"/>
          <w:sz w:val="24"/>
          <w:szCs w:val="24"/>
          <w:lang w:val="en-US"/>
        </w:rPr>
      </w:pPr>
      <w:r w:rsidRPr="004B682B">
        <w:rPr>
          <w:rFonts w:ascii="ArialUnicodeMS" w:hAnsi="ArialUnicodeMS" w:cs="ArialUnicodeMS"/>
          <w:sz w:val="24"/>
          <w:szCs w:val="24"/>
          <w:lang w:val="en-US"/>
        </w:rPr>
        <w:t>2. What is the risk of developing hepatic and non-hepatic complications (heart disease, arthropathy, diabetes,</w:t>
      </w:r>
      <w:r>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hypogonadism etc.) in non-HFE associated hepatic iron overload diseases over time?</w:t>
      </w:r>
    </w:p>
    <w:p w:rsidR="00440395" w:rsidRPr="004B682B" w:rsidRDefault="00440395" w:rsidP="00440395">
      <w:pPr>
        <w:autoSpaceDE w:val="0"/>
        <w:autoSpaceDN w:val="0"/>
        <w:adjustRightInd w:val="0"/>
        <w:spacing w:after="0" w:line="240" w:lineRule="auto"/>
        <w:jc w:val="both"/>
        <w:rPr>
          <w:rFonts w:ascii="ArialUnicodeMS" w:hAnsi="ArialUnicodeMS" w:cs="ArialUnicodeMS"/>
          <w:sz w:val="24"/>
          <w:szCs w:val="24"/>
          <w:lang w:val="en-US"/>
        </w:rPr>
      </w:pPr>
      <w:r w:rsidRPr="004B682B">
        <w:rPr>
          <w:rFonts w:ascii="ArialUnicodeMS" w:hAnsi="ArialUnicodeMS" w:cs="ArialUnicodeMS"/>
          <w:sz w:val="24"/>
          <w:szCs w:val="24"/>
          <w:lang w:val="en-US"/>
        </w:rPr>
        <w:t>3. Which treatment strategies are used in non HFE associated hepatic iron overload diseases and does treatment affect</w:t>
      </w:r>
      <w:r>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disease course?</w:t>
      </w:r>
    </w:p>
    <w:p w:rsidR="00440395" w:rsidRPr="004B682B" w:rsidRDefault="00440395" w:rsidP="00440395">
      <w:pPr>
        <w:autoSpaceDE w:val="0"/>
        <w:autoSpaceDN w:val="0"/>
        <w:adjustRightInd w:val="0"/>
        <w:spacing w:after="0" w:line="240" w:lineRule="auto"/>
        <w:jc w:val="both"/>
        <w:rPr>
          <w:rFonts w:ascii="ArialUnicodeMS" w:hAnsi="ArialUnicodeMS" w:cs="ArialUnicodeMS"/>
          <w:sz w:val="24"/>
          <w:szCs w:val="24"/>
          <w:lang w:val="en-US"/>
        </w:rPr>
      </w:pPr>
      <w:r w:rsidRPr="004B682B">
        <w:rPr>
          <w:rFonts w:ascii="ArialUnicodeMS" w:hAnsi="ArialUnicodeMS" w:cs="ArialUnicodeMS"/>
          <w:sz w:val="24"/>
          <w:szCs w:val="24"/>
          <w:lang w:val="en-US"/>
        </w:rPr>
        <w:t>4. What is genetic architecture of non HFE associated hepatic iron overload diseases (i.e. what is the clinical significan</w:t>
      </w:r>
      <w:r>
        <w:rPr>
          <w:rFonts w:ascii="ArialUnicodeMS" w:hAnsi="ArialUnicodeMS" w:cs="ArialUnicodeMS"/>
          <w:sz w:val="24"/>
          <w:szCs w:val="24"/>
          <w:lang w:val="en-US"/>
        </w:rPr>
        <w:t>c</w:t>
      </w:r>
      <w:r w:rsidRPr="004B682B">
        <w:rPr>
          <w:rFonts w:ascii="ArialUnicodeMS" w:hAnsi="ArialUnicodeMS" w:cs="ArialUnicodeMS"/>
          <w:sz w:val="24"/>
          <w:szCs w:val="24"/>
          <w:lang w:val="en-US"/>
        </w:rPr>
        <w:t>e</w:t>
      </w:r>
      <w:r>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of specific mutations)?</w:t>
      </w:r>
    </w:p>
    <w:p w:rsidR="00440395" w:rsidRPr="004B682B" w:rsidRDefault="00440395" w:rsidP="00440395">
      <w:pPr>
        <w:autoSpaceDE w:val="0"/>
        <w:autoSpaceDN w:val="0"/>
        <w:adjustRightInd w:val="0"/>
        <w:spacing w:after="0" w:line="240" w:lineRule="auto"/>
        <w:jc w:val="both"/>
        <w:rPr>
          <w:rFonts w:ascii="ArialUnicodeMS" w:hAnsi="ArialUnicodeMS" w:cs="ArialUnicodeMS"/>
          <w:sz w:val="24"/>
          <w:szCs w:val="24"/>
          <w:lang w:val="en-US"/>
        </w:rPr>
      </w:pPr>
      <w:r w:rsidRPr="004B682B">
        <w:rPr>
          <w:rFonts w:ascii="ArialUnicodeMS" w:hAnsi="ArialUnicodeMS" w:cs="ArialUnicodeMS"/>
          <w:sz w:val="24"/>
          <w:szCs w:val="24"/>
          <w:lang w:val="en-US"/>
        </w:rPr>
        <w:t>5. When is genetic testing beyond HFE genotyping recommended and what are the implications of test results for</w:t>
      </w:r>
      <w:r>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disease management?</w:t>
      </w:r>
    </w:p>
    <w:p w:rsidR="00440395" w:rsidRDefault="00440395" w:rsidP="00440395">
      <w:pPr>
        <w:autoSpaceDE w:val="0"/>
        <w:autoSpaceDN w:val="0"/>
        <w:adjustRightInd w:val="0"/>
        <w:spacing w:after="0" w:line="240" w:lineRule="auto"/>
        <w:jc w:val="both"/>
        <w:rPr>
          <w:rFonts w:ascii="ArialUnicodeMS" w:hAnsi="ArialUnicodeMS" w:cs="ArialUnicodeMS"/>
          <w:sz w:val="24"/>
          <w:szCs w:val="24"/>
          <w:lang w:val="en-US"/>
        </w:rPr>
      </w:pPr>
      <w:r w:rsidRPr="004B682B">
        <w:rPr>
          <w:rFonts w:ascii="ArialUnicodeMS" w:hAnsi="ArialUnicodeMS" w:cs="ArialUnicodeMS"/>
          <w:sz w:val="24"/>
          <w:szCs w:val="24"/>
          <w:lang w:val="en-US"/>
        </w:rPr>
        <w:t>6. How do initial staging, follow up and treatment in patients with HFE and non HFE associated hemochromatosis differ?</w:t>
      </w:r>
    </w:p>
    <w:p w:rsidR="00440395" w:rsidRPr="004B682B" w:rsidRDefault="00440395" w:rsidP="00440395">
      <w:pPr>
        <w:autoSpaceDE w:val="0"/>
        <w:autoSpaceDN w:val="0"/>
        <w:adjustRightInd w:val="0"/>
        <w:spacing w:after="0" w:line="240" w:lineRule="auto"/>
        <w:jc w:val="both"/>
        <w:rPr>
          <w:rFonts w:ascii="ArialUnicodeMS" w:hAnsi="ArialUnicodeMS" w:cs="ArialUnicodeMS"/>
          <w:sz w:val="24"/>
          <w:szCs w:val="24"/>
          <w:lang w:val="en-US"/>
        </w:rPr>
      </w:pPr>
    </w:p>
    <w:p w:rsidR="00440395" w:rsidRDefault="00440395" w:rsidP="00440395">
      <w:pPr>
        <w:autoSpaceDE w:val="0"/>
        <w:autoSpaceDN w:val="0"/>
        <w:adjustRightInd w:val="0"/>
        <w:spacing w:after="0" w:line="240" w:lineRule="auto"/>
        <w:jc w:val="both"/>
        <w:rPr>
          <w:rFonts w:ascii="ArialUnicodeMS" w:hAnsi="ArialUnicodeMS" w:cs="ArialUnicodeMS"/>
          <w:sz w:val="24"/>
          <w:szCs w:val="24"/>
          <w:lang w:val="en-US"/>
        </w:rPr>
      </w:pPr>
      <w:r w:rsidRPr="004B682B">
        <w:rPr>
          <w:rFonts w:ascii="ArialUnicodeMS" w:hAnsi="ArialUnicodeMS" w:cs="ArialUnicodeMS"/>
          <w:sz w:val="24"/>
          <w:szCs w:val="24"/>
          <w:lang w:val="en-US"/>
        </w:rPr>
        <w:t>Each of these key questions can be directly addressed by the registry. The outcomes will have direct implications for</w:t>
      </w:r>
      <w:r>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clinical management in terms of diagnostic algorithms for patients with hepatic iron overload,</w:t>
      </w:r>
      <w:r>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follow</w:t>
      </w:r>
      <w:r>
        <w:rPr>
          <w:rFonts w:ascii="ArialUnicodeMS" w:hAnsi="ArialUnicodeMS" w:cs="ArialUnicodeMS"/>
          <w:sz w:val="24"/>
          <w:szCs w:val="24"/>
          <w:lang w:val="en-US"/>
        </w:rPr>
        <w:t>-</w:t>
      </w:r>
      <w:r w:rsidRPr="004B682B">
        <w:rPr>
          <w:rFonts w:ascii="ArialUnicodeMS" w:hAnsi="ArialUnicodeMS" w:cs="ArialUnicodeMS"/>
          <w:sz w:val="24"/>
          <w:szCs w:val="24"/>
          <w:lang w:val="en-US"/>
        </w:rPr>
        <w:t>up and treatment.</w:t>
      </w:r>
    </w:p>
    <w:p w:rsidR="00440395" w:rsidRPr="00440395" w:rsidRDefault="00440395" w:rsidP="004B682B">
      <w:pPr>
        <w:autoSpaceDE w:val="0"/>
        <w:autoSpaceDN w:val="0"/>
        <w:adjustRightInd w:val="0"/>
        <w:spacing w:after="0" w:line="240" w:lineRule="auto"/>
        <w:jc w:val="both"/>
        <w:rPr>
          <w:rFonts w:ascii="ArialUnicodeMS" w:hAnsi="ArialUnicodeMS" w:cs="ArialUnicodeMS"/>
          <w:b/>
          <w:sz w:val="24"/>
          <w:szCs w:val="24"/>
          <w:lang w:val="en-US"/>
        </w:rPr>
      </w:pPr>
    </w:p>
    <w:p w:rsidR="004B682B" w:rsidRPr="004B682B" w:rsidRDefault="004B682B" w:rsidP="004B682B">
      <w:pPr>
        <w:autoSpaceDE w:val="0"/>
        <w:autoSpaceDN w:val="0"/>
        <w:adjustRightInd w:val="0"/>
        <w:spacing w:after="0" w:line="240" w:lineRule="auto"/>
        <w:jc w:val="both"/>
        <w:rPr>
          <w:rFonts w:ascii="ArialUnicodeMS" w:hAnsi="ArialUnicodeMS" w:cs="ArialUnicodeMS"/>
          <w:sz w:val="24"/>
          <w:szCs w:val="24"/>
          <w:lang w:val="en-US"/>
        </w:rPr>
      </w:pPr>
    </w:p>
    <w:p w:rsidR="00E84218" w:rsidRDefault="00440395" w:rsidP="004B682B">
      <w:pPr>
        <w:autoSpaceDE w:val="0"/>
        <w:autoSpaceDN w:val="0"/>
        <w:adjustRightInd w:val="0"/>
        <w:spacing w:after="0" w:line="240" w:lineRule="auto"/>
        <w:jc w:val="both"/>
        <w:rPr>
          <w:rFonts w:ascii="ArialUnicodeMS" w:hAnsi="ArialUnicodeMS" w:cs="ArialUnicodeMS"/>
          <w:b/>
          <w:sz w:val="24"/>
          <w:szCs w:val="24"/>
          <w:lang w:val="en-US"/>
        </w:rPr>
      </w:pPr>
      <w:r>
        <w:rPr>
          <w:rFonts w:ascii="ArialUnicodeMS" w:hAnsi="ArialUnicodeMS" w:cs="ArialUnicodeMS"/>
          <w:b/>
          <w:sz w:val="24"/>
          <w:szCs w:val="24"/>
          <w:lang w:val="en-US"/>
        </w:rPr>
        <w:t>3</w:t>
      </w:r>
      <w:r w:rsidR="00E84218" w:rsidRPr="00E84218">
        <w:rPr>
          <w:rFonts w:ascii="ArialUnicodeMS" w:hAnsi="ArialUnicodeMS" w:cs="ArialUnicodeMS"/>
          <w:b/>
          <w:sz w:val="24"/>
          <w:szCs w:val="24"/>
          <w:lang w:val="en-US"/>
        </w:rPr>
        <w:t xml:space="preserve">. </w:t>
      </w:r>
      <w:r>
        <w:rPr>
          <w:rFonts w:ascii="ArialUnicodeMS" w:hAnsi="ArialUnicodeMS" w:cs="ArialUnicodeMS"/>
          <w:b/>
          <w:sz w:val="24"/>
          <w:szCs w:val="24"/>
          <w:lang w:val="en-US"/>
        </w:rPr>
        <w:t>Collaborating Entities</w:t>
      </w:r>
      <w:r w:rsidR="004B682B" w:rsidRPr="00E84218">
        <w:rPr>
          <w:rFonts w:ascii="ArialUnicodeMS" w:hAnsi="ArialUnicodeMS" w:cs="ArialUnicodeMS"/>
          <w:b/>
          <w:sz w:val="24"/>
          <w:szCs w:val="24"/>
          <w:lang w:val="en-US"/>
        </w:rPr>
        <w:t xml:space="preserve"> </w:t>
      </w:r>
    </w:p>
    <w:p w:rsidR="00440395" w:rsidRDefault="00440395" w:rsidP="004B682B">
      <w:pPr>
        <w:autoSpaceDE w:val="0"/>
        <w:autoSpaceDN w:val="0"/>
        <w:adjustRightInd w:val="0"/>
        <w:spacing w:after="0" w:line="240" w:lineRule="auto"/>
        <w:jc w:val="both"/>
        <w:rPr>
          <w:rFonts w:ascii="ArialUnicodeMS" w:hAnsi="ArialUnicodeMS" w:cs="ArialUnicodeMS"/>
          <w:b/>
          <w:sz w:val="24"/>
          <w:szCs w:val="24"/>
          <w:lang w:val="en-US"/>
        </w:rPr>
      </w:pPr>
    </w:p>
    <w:p w:rsidR="00E84218" w:rsidRDefault="004B682B" w:rsidP="004B682B">
      <w:pPr>
        <w:autoSpaceDE w:val="0"/>
        <w:autoSpaceDN w:val="0"/>
        <w:adjustRightInd w:val="0"/>
        <w:spacing w:after="0" w:line="240" w:lineRule="auto"/>
        <w:jc w:val="both"/>
        <w:rPr>
          <w:rFonts w:ascii="ArialUnicodeMS" w:hAnsi="ArialUnicodeMS" w:cs="ArialUnicodeMS"/>
          <w:sz w:val="24"/>
          <w:szCs w:val="24"/>
          <w:lang w:val="en-US"/>
        </w:rPr>
      </w:pPr>
      <w:r w:rsidRPr="00E84218">
        <w:rPr>
          <w:rFonts w:ascii="ArialUnicodeMS" w:hAnsi="ArialUnicodeMS" w:cs="ArialUnicodeMS"/>
          <w:sz w:val="24"/>
          <w:szCs w:val="24"/>
          <w:lang w:val="en-US"/>
        </w:rPr>
        <w:t>Heinz Zoller (coauthor</w:t>
      </w:r>
      <w:r w:rsidRPr="004B682B">
        <w:rPr>
          <w:rFonts w:ascii="ArialUnicodeMS" w:hAnsi="ArialUnicodeMS" w:cs="ArialUnicodeMS"/>
          <w:sz w:val="24"/>
          <w:szCs w:val="24"/>
          <w:lang w:val="en-US"/>
        </w:rPr>
        <w:t xml:space="preserve"> of EASL’s clinical practice guidelines on hemochromatosis) and Hal</w:t>
      </w:r>
      <w:r w:rsidR="00E84218">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Drakesmith (secretary of the European Iron Club) have assembled a consortium of 29 collaborators from 17 different</w:t>
      </w:r>
      <w:r w:rsidR="00E84218">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institutions including national reference laboratories for iron disorders from 11 different European countries. Each of the</w:t>
      </w:r>
      <w:r w:rsidR="00E84218">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participants has a track record in research on hemochromatosis. In addition to the consortium members the registry will</w:t>
      </w:r>
      <w:r w:rsidR="00E84218">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be open to other institutions and data entry will be promoted by the European Iron Club, which is the main hub for</w:t>
      </w:r>
      <w:r w:rsidR="00E84218">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European iron research with a history going back &gt;40 years. The EIC will host sessions at each annual congress to</w:t>
      </w:r>
      <w:r w:rsidR="00E84218">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discuss and disseminate the Registry and educate EIC membership as to its existence, function and goals, in order to</w:t>
      </w:r>
      <w:r w:rsidR="00E84218">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maximize inclusivity and case reporting.</w:t>
      </w:r>
    </w:p>
    <w:p w:rsidR="004B682B" w:rsidRDefault="004B682B" w:rsidP="004B682B">
      <w:pPr>
        <w:autoSpaceDE w:val="0"/>
        <w:autoSpaceDN w:val="0"/>
        <w:adjustRightInd w:val="0"/>
        <w:spacing w:after="0" w:line="240" w:lineRule="auto"/>
        <w:jc w:val="both"/>
        <w:rPr>
          <w:rFonts w:ascii="ArialUnicodeMS" w:hAnsi="ArialUnicodeMS" w:cs="ArialUnicodeMS"/>
          <w:sz w:val="24"/>
          <w:szCs w:val="24"/>
          <w:lang w:val="en-US"/>
        </w:rPr>
      </w:pPr>
      <w:r w:rsidRPr="004B682B">
        <w:rPr>
          <w:rFonts w:ascii="ArialUnicodeMS" w:hAnsi="ArialUnicodeMS" w:cs="ArialUnicodeMS"/>
          <w:sz w:val="24"/>
          <w:szCs w:val="24"/>
          <w:lang w:val="en-US"/>
        </w:rPr>
        <w:t>The registry will be set up by Florian Kronenberg and his team for the Department of Genetic Epidemiology at the</w:t>
      </w:r>
      <w:r w:rsidR="00E84218">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Medical University of Innsbruck, who is experienced in setting up and conducting registry studies and has an according</w:t>
      </w:r>
      <w:r w:rsidR="00E84218">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track record. A collection of high-quality data requires a standardized procedure. We will therefore apply electronic case</w:t>
      </w:r>
      <w:r w:rsidR="00E84218">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report forms implemented in "Askimed" (</w:t>
      </w:r>
      <w:hyperlink r:id="rId7" w:history="1">
        <w:r w:rsidR="00E84218" w:rsidRPr="00B9660B">
          <w:rPr>
            <w:rStyle w:val="Hyperlink"/>
            <w:rFonts w:ascii="ArialUnicodeMS" w:hAnsi="ArialUnicodeMS" w:cs="ArialUnicodeMS"/>
            <w:sz w:val="24"/>
            <w:szCs w:val="24"/>
            <w:lang w:val="en-US"/>
          </w:rPr>
          <w:t>http://www.askimed.com</w:t>
        </w:r>
      </w:hyperlink>
      <w:r w:rsidRPr="004B682B">
        <w:rPr>
          <w:rFonts w:ascii="ArialUnicodeMS" w:hAnsi="ArialUnicodeMS" w:cs="ArialUnicodeMS"/>
          <w:sz w:val="24"/>
          <w:szCs w:val="24"/>
          <w:lang w:val="en-US"/>
        </w:rPr>
        <w:t>).</w:t>
      </w:r>
    </w:p>
    <w:p w:rsidR="00E84218" w:rsidRPr="004B682B" w:rsidRDefault="00E84218" w:rsidP="004B682B">
      <w:pPr>
        <w:autoSpaceDE w:val="0"/>
        <w:autoSpaceDN w:val="0"/>
        <w:adjustRightInd w:val="0"/>
        <w:spacing w:after="0" w:line="240" w:lineRule="auto"/>
        <w:jc w:val="both"/>
        <w:rPr>
          <w:rFonts w:ascii="ArialUnicodeMS" w:hAnsi="ArialUnicodeMS" w:cs="ArialUnicodeMS"/>
          <w:sz w:val="24"/>
          <w:szCs w:val="24"/>
          <w:lang w:val="en-US"/>
        </w:rPr>
      </w:pPr>
    </w:p>
    <w:p w:rsidR="00E84218" w:rsidRPr="00E84218" w:rsidRDefault="00440395" w:rsidP="004B682B">
      <w:pPr>
        <w:autoSpaceDE w:val="0"/>
        <w:autoSpaceDN w:val="0"/>
        <w:adjustRightInd w:val="0"/>
        <w:spacing w:after="0" w:line="240" w:lineRule="auto"/>
        <w:jc w:val="both"/>
        <w:rPr>
          <w:rFonts w:ascii="ArialUnicodeMS" w:hAnsi="ArialUnicodeMS" w:cs="ArialUnicodeMS"/>
          <w:b/>
          <w:sz w:val="24"/>
          <w:szCs w:val="24"/>
          <w:lang w:val="en-US"/>
        </w:rPr>
      </w:pPr>
      <w:r>
        <w:rPr>
          <w:rFonts w:ascii="ArialUnicodeMS" w:hAnsi="ArialUnicodeMS" w:cs="ArialUnicodeMS"/>
          <w:b/>
          <w:sz w:val="24"/>
          <w:szCs w:val="24"/>
          <w:lang w:val="en-US"/>
        </w:rPr>
        <w:t>4</w:t>
      </w:r>
      <w:r w:rsidR="00E84218" w:rsidRPr="00E84218">
        <w:rPr>
          <w:rFonts w:ascii="ArialUnicodeMS" w:hAnsi="ArialUnicodeMS" w:cs="ArialUnicodeMS"/>
          <w:b/>
          <w:sz w:val="24"/>
          <w:szCs w:val="24"/>
          <w:lang w:val="en-US"/>
        </w:rPr>
        <w:t xml:space="preserve">. </w:t>
      </w:r>
      <w:r w:rsidR="004B682B" w:rsidRPr="00E84218">
        <w:rPr>
          <w:rFonts w:ascii="ArialUnicodeMS" w:hAnsi="ArialUnicodeMS" w:cs="ArialUnicodeMS"/>
          <w:b/>
          <w:sz w:val="24"/>
          <w:szCs w:val="24"/>
          <w:lang w:val="en-US"/>
        </w:rPr>
        <w:t>Leng</w:t>
      </w:r>
      <w:r w:rsidR="00E84218" w:rsidRPr="00E84218">
        <w:rPr>
          <w:rFonts w:ascii="ArialUnicodeMS" w:hAnsi="ArialUnicodeMS" w:cs="ArialUnicodeMS"/>
          <w:b/>
          <w:sz w:val="24"/>
          <w:szCs w:val="24"/>
          <w:lang w:val="en-US"/>
        </w:rPr>
        <w:t>t</w:t>
      </w:r>
      <w:r w:rsidR="004B682B" w:rsidRPr="00E84218">
        <w:rPr>
          <w:rFonts w:ascii="ArialUnicodeMS" w:hAnsi="ArialUnicodeMS" w:cs="ArialUnicodeMS"/>
          <w:b/>
          <w:sz w:val="24"/>
          <w:szCs w:val="24"/>
          <w:lang w:val="en-US"/>
        </w:rPr>
        <w:t>h</w:t>
      </w:r>
      <w:r w:rsidR="00E84218" w:rsidRPr="00E84218">
        <w:rPr>
          <w:rFonts w:ascii="ArialUnicodeMS" w:hAnsi="ArialUnicodeMS" w:cs="ArialUnicodeMS"/>
          <w:b/>
          <w:sz w:val="24"/>
          <w:szCs w:val="24"/>
          <w:lang w:val="en-US"/>
        </w:rPr>
        <w:t xml:space="preserve"> of project in months</w:t>
      </w:r>
    </w:p>
    <w:p w:rsidR="00E84218" w:rsidRDefault="00E84218" w:rsidP="004B682B">
      <w:pPr>
        <w:autoSpaceDE w:val="0"/>
        <w:autoSpaceDN w:val="0"/>
        <w:adjustRightInd w:val="0"/>
        <w:spacing w:after="0" w:line="240" w:lineRule="auto"/>
        <w:jc w:val="both"/>
        <w:rPr>
          <w:rFonts w:ascii="ArialUnicodeMS" w:hAnsi="ArialUnicodeMS" w:cs="ArialUnicodeMS"/>
          <w:sz w:val="24"/>
          <w:szCs w:val="24"/>
          <w:lang w:val="en-US"/>
        </w:rPr>
      </w:pPr>
    </w:p>
    <w:p w:rsidR="004B682B" w:rsidRPr="004B682B" w:rsidRDefault="004B682B" w:rsidP="004B682B">
      <w:pPr>
        <w:autoSpaceDE w:val="0"/>
        <w:autoSpaceDN w:val="0"/>
        <w:adjustRightInd w:val="0"/>
        <w:spacing w:after="0" w:line="240" w:lineRule="auto"/>
        <w:jc w:val="both"/>
        <w:rPr>
          <w:rFonts w:ascii="ArialUnicodeMS" w:hAnsi="ArialUnicodeMS" w:cs="ArialUnicodeMS"/>
          <w:sz w:val="24"/>
          <w:szCs w:val="24"/>
          <w:lang w:val="en-US"/>
        </w:rPr>
      </w:pPr>
      <w:r w:rsidRPr="004B682B">
        <w:rPr>
          <w:rFonts w:ascii="ArialUnicodeMS" w:hAnsi="ArialUnicodeMS" w:cs="ArialUnicodeMS"/>
          <w:sz w:val="24"/>
          <w:szCs w:val="24"/>
          <w:lang w:val="en-US"/>
        </w:rPr>
        <w:t>The proposed duration of the project is 60 months. Initial setup of the database is expected</w:t>
      </w:r>
      <w:r w:rsidR="00E84218">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to be completed within 6 months. Data entry is expected to start in October 201</w:t>
      </w:r>
      <w:r w:rsidR="00E84218">
        <w:rPr>
          <w:rFonts w:ascii="ArialUnicodeMS" w:hAnsi="ArialUnicodeMS" w:cs="ArialUnicodeMS"/>
          <w:sz w:val="24"/>
          <w:szCs w:val="24"/>
          <w:lang w:val="en-US"/>
        </w:rPr>
        <w:t>6.</w:t>
      </w:r>
    </w:p>
    <w:p w:rsidR="004B682B" w:rsidRPr="004B682B" w:rsidRDefault="004B682B" w:rsidP="004B682B">
      <w:pPr>
        <w:autoSpaceDE w:val="0"/>
        <w:autoSpaceDN w:val="0"/>
        <w:adjustRightInd w:val="0"/>
        <w:spacing w:after="0" w:line="240" w:lineRule="auto"/>
        <w:jc w:val="both"/>
        <w:rPr>
          <w:rFonts w:ascii="ArialUnicodeMS" w:hAnsi="ArialUnicodeMS" w:cs="ArialUnicodeMS"/>
          <w:sz w:val="24"/>
          <w:szCs w:val="24"/>
          <w:lang w:val="en-US"/>
        </w:rPr>
      </w:pPr>
      <w:r w:rsidRPr="004B682B">
        <w:rPr>
          <w:rFonts w:ascii="ArialUnicodeMS" w:hAnsi="ArialUnicodeMS" w:cs="ArialUnicodeMS"/>
          <w:sz w:val="24"/>
          <w:szCs w:val="24"/>
          <w:lang w:val="en-US"/>
        </w:rPr>
        <w:lastRenderedPageBreak/>
        <w:t>The retrospective study arm will be closed 24 months after database launch. Formal analysis of the retrospective data will</w:t>
      </w:r>
      <w:r w:rsidR="00E84218">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be completed in month 30 and presented to the funding body. Retrospective data analysis will also be submitted for peer</w:t>
      </w:r>
      <w:r w:rsidR="00E84218">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review and publication.</w:t>
      </w:r>
    </w:p>
    <w:p w:rsidR="004B682B" w:rsidRPr="004B682B" w:rsidRDefault="004B682B" w:rsidP="004B682B">
      <w:pPr>
        <w:autoSpaceDE w:val="0"/>
        <w:autoSpaceDN w:val="0"/>
        <w:adjustRightInd w:val="0"/>
        <w:spacing w:after="0" w:line="240" w:lineRule="auto"/>
        <w:jc w:val="both"/>
        <w:rPr>
          <w:rFonts w:ascii="ArialUnicodeMS" w:hAnsi="ArialUnicodeMS" w:cs="ArialUnicodeMS"/>
          <w:sz w:val="24"/>
          <w:szCs w:val="24"/>
          <w:lang w:val="en-US"/>
        </w:rPr>
      </w:pPr>
      <w:r w:rsidRPr="004B682B">
        <w:rPr>
          <w:rFonts w:ascii="ArialUnicodeMS" w:hAnsi="ArialUnicodeMS" w:cs="ArialUnicodeMS"/>
          <w:sz w:val="24"/>
          <w:szCs w:val="24"/>
          <w:lang w:val="en-US"/>
        </w:rPr>
        <w:t>Prospective follow up will be completed in month 54 to leave 6 months for data curation, analysis and scientific</w:t>
      </w:r>
      <w:r w:rsidR="00E84218">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publication.</w:t>
      </w:r>
    </w:p>
    <w:p w:rsidR="00440395" w:rsidRPr="00440395" w:rsidRDefault="00440395" w:rsidP="004B682B">
      <w:pPr>
        <w:autoSpaceDE w:val="0"/>
        <w:autoSpaceDN w:val="0"/>
        <w:adjustRightInd w:val="0"/>
        <w:spacing w:after="0" w:line="240" w:lineRule="auto"/>
        <w:jc w:val="both"/>
        <w:rPr>
          <w:rFonts w:ascii="ArialUnicodeMS" w:hAnsi="ArialUnicodeMS" w:cs="ArialUnicodeMS"/>
          <w:sz w:val="24"/>
          <w:szCs w:val="24"/>
          <w:lang w:val="en-US"/>
        </w:rPr>
      </w:pPr>
    </w:p>
    <w:p w:rsidR="00440395" w:rsidRDefault="00440395" w:rsidP="004B682B">
      <w:pPr>
        <w:autoSpaceDE w:val="0"/>
        <w:autoSpaceDN w:val="0"/>
        <w:adjustRightInd w:val="0"/>
        <w:spacing w:after="0" w:line="240" w:lineRule="auto"/>
        <w:jc w:val="both"/>
        <w:rPr>
          <w:rFonts w:ascii="ArialUnicodeMS" w:hAnsi="ArialUnicodeMS" w:cs="ArialUnicodeMS"/>
          <w:b/>
          <w:sz w:val="24"/>
          <w:szCs w:val="24"/>
          <w:lang w:val="en-US"/>
        </w:rPr>
      </w:pPr>
      <w:r>
        <w:rPr>
          <w:rFonts w:ascii="ArialUnicodeMS" w:hAnsi="ArialUnicodeMS" w:cs="ArialUnicodeMS"/>
          <w:b/>
          <w:sz w:val="24"/>
          <w:szCs w:val="24"/>
          <w:lang w:val="en-US"/>
        </w:rPr>
        <w:t xml:space="preserve">5. </w:t>
      </w:r>
      <w:r w:rsidR="004B682B" w:rsidRPr="00440395">
        <w:rPr>
          <w:rFonts w:ascii="ArialUnicodeMS" w:hAnsi="ArialUnicodeMS" w:cs="ArialUnicodeMS"/>
          <w:b/>
          <w:sz w:val="24"/>
          <w:szCs w:val="24"/>
          <w:lang w:val="en-US"/>
        </w:rPr>
        <w:t>Methods</w:t>
      </w:r>
    </w:p>
    <w:p w:rsidR="004B682B" w:rsidRPr="004B682B" w:rsidRDefault="004B682B" w:rsidP="004B682B">
      <w:pPr>
        <w:autoSpaceDE w:val="0"/>
        <w:autoSpaceDN w:val="0"/>
        <w:adjustRightInd w:val="0"/>
        <w:spacing w:after="0" w:line="240" w:lineRule="auto"/>
        <w:jc w:val="both"/>
        <w:rPr>
          <w:rFonts w:ascii="ArialUnicodeMS" w:hAnsi="ArialUnicodeMS" w:cs="ArialUnicodeMS"/>
          <w:sz w:val="24"/>
          <w:szCs w:val="24"/>
          <w:lang w:val="en-US"/>
        </w:rPr>
      </w:pPr>
      <w:r w:rsidRPr="004B682B">
        <w:rPr>
          <w:rFonts w:ascii="ArialUnicodeMS" w:hAnsi="ArialUnicodeMS" w:cs="ArialUnicodeMS"/>
          <w:sz w:val="24"/>
          <w:szCs w:val="24"/>
          <w:lang w:val="en-US"/>
        </w:rPr>
        <w:t>(i) Retrospective assessment of patients with genetically confirmed non-HFE hemochromatosis, ferroportin</w:t>
      </w:r>
      <w:r w:rsidR="00440395">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disease or aceruloplasminemia to determine prognosis, treatment strategies and complications.</w:t>
      </w:r>
    </w:p>
    <w:p w:rsidR="004B682B" w:rsidRPr="004B682B" w:rsidRDefault="004B682B" w:rsidP="004B682B">
      <w:pPr>
        <w:autoSpaceDE w:val="0"/>
        <w:autoSpaceDN w:val="0"/>
        <w:adjustRightInd w:val="0"/>
        <w:spacing w:after="0" w:line="240" w:lineRule="auto"/>
        <w:jc w:val="both"/>
        <w:rPr>
          <w:rFonts w:ascii="ArialUnicodeMS" w:hAnsi="ArialUnicodeMS" w:cs="ArialUnicodeMS"/>
          <w:sz w:val="24"/>
          <w:szCs w:val="24"/>
          <w:lang w:val="en-US"/>
        </w:rPr>
      </w:pPr>
      <w:r w:rsidRPr="004B682B">
        <w:rPr>
          <w:rFonts w:ascii="ArialUnicodeMS" w:hAnsi="ArialUnicodeMS" w:cs="ArialUnicodeMS"/>
          <w:sz w:val="24"/>
          <w:szCs w:val="24"/>
          <w:lang w:val="en-US"/>
        </w:rPr>
        <w:t>(ii) Prospective inclusion of patients with newly diagnosed non-HFE hemochromatosis, ferroportin disease or</w:t>
      </w:r>
      <w:r w:rsidR="00440395">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aceruloplasminemia to determine the incidence of non-HFE hemochromatosis and improve our understanding on the</w:t>
      </w:r>
      <w:r w:rsidR="00440395">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prognosis.</w:t>
      </w:r>
    </w:p>
    <w:p w:rsidR="004B682B" w:rsidRDefault="004B682B" w:rsidP="004B682B">
      <w:pPr>
        <w:autoSpaceDE w:val="0"/>
        <w:autoSpaceDN w:val="0"/>
        <w:adjustRightInd w:val="0"/>
        <w:spacing w:after="0" w:line="240" w:lineRule="auto"/>
        <w:jc w:val="both"/>
        <w:rPr>
          <w:rFonts w:ascii="ArialUnicodeMS" w:hAnsi="ArialUnicodeMS" w:cs="ArialUnicodeMS"/>
          <w:sz w:val="24"/>
          <w:szCs w:val="24"/>
          <w:lang w:val="en-US"/>
        </w:rPr>
      </w:pPr>
      <w:r w:rsidRPr="004B682B">
        <w:rPr>
          <w:rFonts w:ascii="ArialUnicodeMS" w:hAnsi="ArialUnicodeMS" w:cs="ArialUnicodeMS"/>
          <w:sz w:val="24"/>
          <w:szCs w:val="24"/>
          <w:lang w:val="en-US"/>
        </w:rPr>
        <w:t>Retrospective assessment aims at determining disease prognosis and collect information on currently used treatment</w:t>
      </w:r>
      <w:r w:rsidR="00440395">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strategies for the different entities. The prospective study design aims at understand the epidemiology of these conditions</w:t>
      </w:r>
      <w:r w:rsidR="00440395">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and at collecting prospective data on disease prognosis and compilcations.</w:t>
      </w:r>
      <w:r w:rsidR="00440395">
        <w:rPr>
          <w:rFonts w:ascii="ArialUnicodeMS" w:hAnsi="ArialUnicodeMS" w:cs="ArialUnicodeMS"/>
          <w:sz w:val="24"/>
          <w:szCs w:val="24"/>
          <w:lang w:val="en-US"/>
        </w:rPr>
        <w:t xml:space="preserve"> </w:t>
      </w:r>
    </w:p>
    <w:p w:rsidR="00440395" w:rsidRPr="004B682B" w:rsidRDefault="00440395" w:rsidP="004B682B">
      <w:pPr>
        <w:autoSpaceDE w:val="0"/>
        <w:autoSpaceDN w:val="0"/>
        <w:adjustRightInd w:val="0"/>
        <w:spacing w:after="0" w:line="240" w:lineRule="auto"/>
        <w:jc w:val="both"/>
        <w:rPr>
          <w:rFonts w:ascii="ArialUnicodeMS" w:hAnsi="ArialUnicodeMS" w:cs="ArialUnicodeMS"/>
          <w:sz w:val="24"/>
          <w:szCs w:val="24"/>
          <w:lang w:val="en-US"/>
        </w:rPr>
      </w:pPr>
    </w:p>
    <w:p w:rsidR="004B682B" w:rsidRPr="004B682B" w:rsidRDefault="004B682B" w:rsidP="004B682B">
      <w:pPr>
        <w:autoSpaceDE w:val="0"/>
        <w:autoSpaceDN w:val="0"/>
        <w:adjustRightInd w:val="0"/>
        <w:spacing w:after="0" w:line="240" w:lineRule="auto"/>
        <w:jc w:val="both"/>
        <w:rPr>
          <w:rFonts w:ascii="ArialUnicodeMS" w:hAnsi="ArialUnicodeMS" w:cs="ArialUnicodeMS"/>
          <w:sz w:val="24"/>
          <w:szCs w:val="24"/>
          <w:lang w:val="en-US"/>
        </w:rPr>
      </w:pPr>
      <w:r w:rsidRPr="004B682B">
        <w:rPr>
          <w:rFonts w:ascii="ArialUnicodeMS" w:hAnsi="ArialUnicodeMS" w:cs="ArialUnicodeMS"/>
          <w:sz w:val="24"/>
          <w:szCs w:val="24"/>
          <w:lang w:val="en-US"/>
        </w:rPr>
        <w:t>The collection of high-quality data requires a standardized procedure. We will therefore apply electronic case report forms</w:t>
      </w:r>
      <w:r w:rsidR="00440395">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implemented in "Askimed" (http://www.askimed.com). Askimed is an intuitive and self-explaining researcher-supporting</w:t>
      </w:r>
      <w:r w:rsidR="00440395">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software solution that allows a standardized data collection with extensive checking of plausibility as part of the quality</w:t>
      </w:r>
      <w:r w:rsidR="00440395">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control management. It is already in use in the German Chronic Kidney Disease Study (http://www.gckd.de/), the FP7-funded ncRNAPain project (http://www.ncrna-pain.eu/) and in a large study including patients with macular degeneration</w:t>
      </w:r>
      <w:r w:rsidR="00440395">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(AugUR study). All data are securely transferred to a centralized MySQL database. The Medical University of Innsbruck</w:t>
      </w:r>
      <w:r w:rsidR="00440395">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will provide this centralized database for storage of data considering all security issues of importance for such a project.</w:t>
      </w:r>
      <w:r w:rsidR="00440395">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This includes that all interactions with the server and the database are encrypted. Furthermore, Askimed is compliant to</w:t>
      </w:r>
      <w:r w:rsidR="00440395">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the 21 CRF Part 11 regulations (FDA guidelines on electronic records and electronic signatures). The questionnaires will</w:t>
      </w:r>
      <w:r w:rsidR="00440395">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be programmed by the Innsbruck team, a database will be provided and - if requested - the questionnaires can be</w:t>
      </w:r>
      <w:r w:rsidR="00440395">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prepared in the most widely-used languages. The consortium will be owner of the data and access will be allowed</w:t>
      </w:r>
      <w:r w:rsidR="00440395">
        <w:rPr>
          <w:rFonts w:ascii="ArialUnicodeMS" w:hAnsi="ArialUnicodeMS" w:cs="ArialUnicodeMS"/>
          <w:sz w:val="24"/>
          <w:szCs w:val="24"/>
          <w:lang w:val="en-US"/>
        </w:rPr>
        <w:t xml:space="preserve"> </w:t>
      </w:r>
      <w:r w:rsidRPr="004B682B">
        <w:rPr>
          <w:rFonts w:ascii="ArialUnicodeMS" w:hAnsi="ArialUnicodeMS" w:cs="ArialUnicodeMS"/>
          <w:sz w:val="24"/>
          <w:szCs w:val="24"/>
          <w:lang w:val="en-US"/>
        </w:rPr>
        <w:t>according to the rules of the consortium.</w:t>
      </w:r>
    </w:p>
    <w:p w:rsidR="00440395" w:rsidRDefault="00440395" w:rsidP="004B682B">
      <w:pPr>
        <w:autoSpaceDE w:val="0"/>
        <w:autoSpaceDN w:val="0"/>
        <w:adjustRightInd w:val="0"/>
        <w:spacing w:after="0" w:line="240" w:lineRule="auto"/>
        <w:jc w:val="both"/>
        <w:rPr>
          <w:rFonts w:ascii="ArialUnicodeMS" w:hAnsi="ArialUnicodeMS" w:cs="ArialUnicodeMS"/>
          <w:sz w:val="24"/>
          <w:szCs w:val="24"/>
          <w:lang w:val="en-US"/>
        </w:rPr>
      </w:pPr>
    </w:p>
    <w:p w:rsidR="002E4A93" w:rsidRPr="00FA7E06" w:rsidRDefault="00FA7E06" w:rsidP="00FA7E06">
      <w:pPr>
        <w:autoSpaceDE w:val="0"/>
        <w:autoSpaceDN w:val="0"/>
        <w:adjustRightInd w:val="0"/>
        <w:spacing w:after="0" w:line="240" w:lineRule="auto"/>
        <w:jc w:val="both"/>
        <w:rPr>
          <w:rFonts w:ascii="ArialUnicodeMS" w:hAnsi="ArialUnicodeMS" w:cs="ArialUnicodeMS"/>
          <w:b/>
          <w:sz w:val="24"/>
          <w:szCs w:val="24"/>
          <w:lang w:val="en-US"/>
        </w:rPr>
      </w:pPr>
      <w:r>
        <w:rPr>
          <w:rFonts w:ascii="ArialUnicodeMS" w:hAnsi="ArialUnicodeMS" w:cs="ArialUnicodeMS"/>
          <w:b/>
          <w:sz w:val="24"/>
          <w:szCs w:val="24"/>
          <w:lang w:val="en-US"/>
        </w:rPr>
        <w:t xml:space="preserve">6. </w:t>
      </w:r>
      <w:r w:rsidR="004B682B" w:rsidRPr="00FA7E06">
        <w:rPr>
          <w:rFonts w:ascii="ArialUnicodeMS" w:hAnsi="ArialUnicodeMS" w:cs="ArialUnicodeMS"/>
          <w:b/>
          <w:sz w:val="24"/>
          <w:szCs w:val="24"/>
          <w:lang w:val="en-US"/>
        </w:rPr>
        <w:t>Data protection and data aquisition</w:t>
      </w:r>
      <w:r w:rsidR="002E4A93" w:rsidRPr="00FA7E06">
        <w:rPr>
          <w:rFonts w:ascii="ArialUnicodeMS" w:hAnsi="ArialUnicodeMS" w:cs="ArialUnicodeMS"/>
          <w:b/>
          <w:sz w:val="24"/>
          <w:szCs w:val="24"/>
          <w:lang w:val="en-US"/>
        </w:rPr>
        <w:t xml:space="preserve"> </w:t>
      </w:r>
    </w:p>
    <w:p w:rsidR="00FA7E06" w:rsidRDefault="00FA7E06" w:rsidP="00FA7E06">
      <w:pPr>
        <w:autoSpaceDE w:val="0"/>
        <w:autoSpaceDN w:val="0"/>
        <w:adjustRightInd w:val="0"/>
        <w:spacing w:after="0" w:line="240" w:lineRule="auto"/>
        <w:jc w:val="both"/>
        <w:rPr>
          <w:rFonts w:ascii="ArialUnicodeMS" w:hAnsi="ArialUnicodeMS" w:cs="ArialUnicodeMS"/>
          <w:sz w:val="24"/>
          <w:szCs w:val="24"/>
          <w:lang w:val="en-US"/>
        </w:rPr>
      </w:pPr>
    </w:p>
    <w:p w:rsidR="00FA7E06" w:rsidRDefault="004B682B" w:rsidP="00FA7E06">
      <w:pPr>
        <w:autoSpaceDE w:val="0"/>
        <w:autoSpaceDN w:val="0"/>
        <w:adjustRightInd w:val="0"/>
        <w:spacing w:after="0" w:line="240" w:lineRule="auto"/>
        <w:jc w:val="both"/>
        <w:rPr>
          <w:rFonts w:ascii="ArialUnicodeMS" w:hAnsi="ArialUnicodeMS" w:cs="ArialUnicodeMS"/>
          <w:sz w:val="24"/>
          <w:szCs w:val="24"/>
          <w:lang w:val="en-US"/>
        </w:rPr>
      </w:pPr>
      <w:r w:rsidRPr="00FA7E06">
        <w:rPr>
          <w:rFonts w:ascii="ArialUnicodeMS" w:hAnsi="ArialUnicodeMS" w:cs="ArialUnicodeMS"/>
          <w:sz w:val="24"/>
          <w:szCs w:val="24"/>
          <w:lang w:val="en-US"/>
        </w:rPr>
        <w:t>Refer to appendix</w:t>
      </w:r>
      <w:r w:rsidR="00FA7E06">
        <w:rPr>
          <w:rFonts w:ascii="ArialUnicodeMS" w:hAnsi="ArialUnicodeMS" w:cs="ArialUnicodeMS"/>
          <w:sz w:val="24"/>
          <w:szCs w:val="24"/>
          <w:lang w:val="en-US"/>
        </w:rPr>
        <w:t>.</w:t>
      </w:r>
    </w:p>
    <w:p w:rsidR="00C82D28" w:rsidRPr="00FA7E06" w:rsidRDefault="00C82D28" w:rsidP="00FA7E06">
      <w:pPr>
        <w:autoSpaceDE w:val="0"/>
        <w:autoSpaceDN w:val="0"/>
        <w:adjustRightInd w:val="0"/>
        <w:spacing w:after="0" w:line="240" w:lineRule="auto"/>
        <w:jc w:val="both"/>
        <w:rPr>
          <w:rFonts w:ascii="ArialUnicodeMS" w:hAnsi="ArialUnicodeMS" w:cs="ArialUnicodeMS"/>
          <w:sz w:val="24"/>
          <w:szCs w:val="24"/>
          <w:lang w:val="en-US"/>
        </w:rPr>
      </w:pPr>
    </w:p>
    <w:p w:rsidR="002E4A93" w:rsidRDefault="00FA7E06" w:rsidP="00FA7E06">
      <w:pPr>
        <w:autoSpaceDE w:val="0"/>
        <w:autoSpaceDN w:val="0"/>
        <w:adjustRightInd w:val="0"/>
        <w:spacing w:after="0" w:line="240" w:lineRule="auto"/>
        <w:jc w:val="both"/>
        <w:rPr>
          <w:rFonts w:ascii="ArialUnicodeMS" w:hAnsi="ArialUnicodeMS" w:cs="ArialUnicodeMS"/>
          <w:sz w:val="24"/>
          <w:szCs w:val="24"/>
          <w:lang w:val="en-US"/>
        </w:rPr>
      </w:pPr>
      <w:r w:rsidRPr="00FA7E06">
        <w:rPr>
          <w:rFonts w:ascii="ArialUnicodeMS" w:hAnsi="ArialUnicodeMS" w:cs="ArialUnicodeMS"/>
          <w:b/>
          <w:sz w:val="24"/>
          <w:szCs w:val="24"/>
          <w:lang w:val="en-US"/>
        </w:rPr>
        <w:t>7.</w:t>
      </w:r>
      <w:r>
        <w:rPr>
          <w:rFonts w:ascii="ArialUnicodeMS" w:hAnsi="ArialUnicodeMS" w:cs="ArialUnicodeMS"/>
          <w:sz w:val="24"/>
          <w:szCs w:val="24"/>
          <w:lang w:val="en-US"/>
        </w:rPr>
        <w:t xml:space="preserve"> Case report form</w:t>
      </w:r>
    </w:p>
    <w:p w:rsidR="00FA7E06" w:rsidRPr="00FA7E06" w:rsidRDefault="00FA7E06" w:rsidP="00FA7E06">
      <w:pPr>
        <w:autoSpaceDE w:val="0"/>
        <w:autoSpaceDN w:val="0"/>
        <w:adjustRightInd w:val="0"/>
        <w:spacing w:after="0" w:line="240" w:lineRule="auto"/>
        <w:jc w:val="both"/>
        <w:rPr>
          <w:rFonts w:ascii="ArialUnicodeMS" w:hAnsi="ArialUnicodeMS" w:cs="ArialUnicodeMS"/>
          <w:sz w:val="24"/>
          <w:szCs w:val="24"/>
          <w:lang w:val="en-US"/>
        </w:rPr>
      </w:pPr>
    </w:p>
    <w:p w:rsidR="002E4A93" w:rsidRDefault="004B682B" w:rsidP="00FA7E06">
      <w:pPr>
        <w:autoSpaceDE w:val="0"/>
        <w:autoSpaceDN w:val="0"/>
        <w:adjustRightInd w:val="0"/>
        <w:spacing w:after="0" w:line="240" w:lineRule="auto"/>
        <w:jc w:val="both"/>
        <w:rPr>
          <w:rFonts w:ascii="ArialUnicodeMS" w:hAnsi="ArialUnicodeMS" w:cs="ArialUnicodeMS"/>
          <w:sz w:val="24"/>
          <w:szCs w:val="24"/>
          <w:lang w:val="en-US"/>
        </w:rPr>
      </w:pPr>
      <w:r w:rsidRPr="00FA7E06">
        <w:rPr>
          <w:rFonts w:ascii="ArialUnicodeMS" w:hAnsi="ArialUnicodeMS" w:cs="ArialUnicodeMS"/>
          <w:sz w:val="24"/>
          <w:szCs w:val="24"/>
          <w:lang w:val="en-US"/>
        </w:rPr>
        <w:t xml:space="preserve">Refer to Appendix </w:t>
      </w:r>
      <w:r w:rsidR="00840AA8" w:rsidRPr="00FA7E06">
        <w:rPr>
          <w:rFonts w:ascii="ArialUnicodeMS" w:hAnsi="ArialUnicodeMS" w:cs="ArialUnicodeMS"/>
          <w:sz w:val="24"/>
          <w:szCs w:val="24"/>
          <w:lang w:val="en-US"/>
        </w:rPr>
        <w:fldChar w:fldCharType="begin"/>
      </w:r>
      <w:r w:rsidR="00840AA8" w:rsidRPr="00FA7E06">
        <w:rPr>
          <w:rFonts w:ascii="ArialUnicodeMS" w:hAnsi="ArialUnicodeMS" w:cs="ArialUnicodeMS"/>
          <w:sz w:val="24"/>
          <w:szCs w:val="24"/>
          <w:lang w:val="en-US"/>
        </w:rPr>
        <w:instrText xml:space="preserve"> ADDIN EN.REFLIST </w:instrText>
      </w:r>
      <w:r w:rsidR="00840AA8" w:rsidRPr="00FA7E06">
        <w:rPr>
          <w:rFonts w:ascii="ArialUnicodeMS" w:hAnsi="ArialUnicodeMS" w:cs="ArialUnicodeMS"/>
          <w:sz w:val="24"/>
          <w:szCs w:val="24"/>
          <w:lang w:val="en-US"/>
        </w:rPr>
        <w:fldChar w:fldCharType="end"/>
      </w:r>
      <w:r w:rsidR="002E4A93" w:rsidRPr="00FA7E06">
        <w:rPr>
          <w:rFonts w:ascii="ArialUnicodeMS" w:hAnsi="ArialUnicodeMS" w:cs="ArialUnicodeMS"/>
          <w:sz w:val="24"/>
          <w:szCs w:val="24"/>
          <w:lang w:val="en-US"/>
        </w:rPr>
        <w:t xml:space="preserve"> </w:t>
      </w:r>
    </w:p>
    <w:p w:rsidR="00C82D28" w:rsidRDefault="00C82D28" w:rsidP="00FA7E06">
      <w:pPr>
        <w:autoSpaceDE w:val="0"/>
        <w:autoSpaceDN w:val="0"/>
        <w:adjustRightInd w:val="0"/>
        <w:spacing w:after="0" w:line="240" w:lineRule="auto"/>
        <w:jc w:val="both"/>
        <w:rPr>
          <w:rFonts w:ascii="ArialUnicodeMS" w:hAnsi="ArialUnicodeMS" w:cs="ArialUnicodeMS"/>
          <w:b/>
          <w:sz w:val="24"/>
          <w:szCs w:val="24"/>
          <w:lang w:val="en-US"/>
        </w:rPr>
      </w:pPr>
    </w:p>
    <w:p w:rsidR="00C82D28" w:rsidRDefault="00C82D28" w:rsidP="00FA7E06">
      <w:pPr>
        <w:autoSpaceDE w:val="0"/>
        <w:autoSpaceDN w:val="0"/>
        <w:adjustRightInd w:val="0"/>
        <w:spacing w:after="0" w:line="240" w:lineRule="auto"/>
        <w:jc w:val="both"/>
        <w:rPr>
          <w:rFonts w:ascii="ArialUnicodeMS" w:hAnsi="ArialUnicodeMS" w:cs="ArialUnicodeMS"/>
          <w:b/>
          <w:sz w:val="24"/>
          <w:szCs w:val="24"/>
          <w:lang w:val="en-US"/>
        </w:rPr>
      </w:pPr>
      <w:r>
        <w:rPr>
          <w:rFonts w:ascii="ArialUnicodeMS" w:hAnsi="ArialUnicodeMS" w:cs="ArialUnicodeMS"/>
          <w:b/>
          <w:sz w:val="24"/>
          <w:szCs w:val="24"/>
          <w:lang w:val="en-US"/>
        </w:rPr>
        <w:t>8. References</w:t>
      </w:r>
    </w:p>
    <w:p w:rsidR="00C82D28" w:rsidRPr="00C82D28" w:rsidRDefault="00C82D28" w:rsidP="00C82D28">
      <w:pPr>
        <w:autoSpaceDE w:val="0"/>
        <w:autoSpaceDN w:val="0"/>
        <w:adjustRightInd w:val="0"/>
        <w:spacing w:after="0" w:line="240" w:lineRule="auto"/>
        <w:jc w:val="both"/>
        <w:rPr>
          <w:rFonts w:ascii="ArialUnicodeMS" w:hAnsi="ArialUnicodeMS" w:cs="ArialUnicodeMS"/>
          <w:sz w:val="24"/>
          <w:szCs w:val="24"/>
          <w:lang w:val="en-US"/>
        </w:rPr>
      </w:pPr>
      <w:bookmarkStart w:id="1" w:name="_ENREF_1"/>
      <w:r w:rsidRPr="00C82D28">
        <w:rPr>
          <w:rFonts w:ascii="ArialUnicodeMS" w:hAnsi="ArialUnicodeMS" w:cs="ArialUnicodeMS"/>
          <w:sz w:val="24"/>
          <w:szCs w:val="24"/>
          <w:lang w:val="en-US"/>
        </w:rPr>
        <w:t>[1]</w:t>
      </w:r>
      <w:r w:rsidRPr="00C82D28">
        <w:rPr>
          <w:rFonts w:ascii="ArialUnicodeMS" w:hAnsi="ArialUnicodeMS" w:cs="ArialUnicodeMS"/>
          <w:sz w:val="24"/>
          <w:szCs w:val="24"/>
          <w:lang w:val="en-US"/>
        </w:rPr>
        <w:tab/>
        <w:t>EASL clinical practice guidelines for HFE hemochromatosis. Journal of hepatology 2010;53(1): 3-22.</w:t>
      </w:r>
      <w:bookmarkEnd w:id="1"/>
    </w:p>
    <w:p w:rsidR="00C82D28" w:rsidRPr="00C82D28" w:rsidRDefault="00C82D28" w:rsidP="00C82D28">
      <w:pPr>
        <w:autoSpaceDE w:val="0"/>
        <w:autoSpaceDN w:val="0"/>
        <w:adjustRightInd w:val="0"/>
        <w:spacing w:after="0" w:line="240" w:lineRule="auto"/>
        <w:jc w:val="both"/>
        <w:rPr>
          <w:rFonts w:ascii="ArialUnicodeMS" w:hAnsi="ArialUnicodeMS" w:cs="ArialUnicodeMS"/>
          <w:sz w:val="24"/>
          <w:szCs w:val="24"/>
          <w:lang w:val="en-US"/>
        </w:rPr>
      </w:pPr>
      <w:bookmarkStart w:id="2" w:name="_ENREF_2"/>
      <w:r w:rsidRPr="00C82D28">
        <w:rPr>
          <w:rFonts w:ascii="ArialUnicodeMS" w:hAnsi="ArialUnicodeMS" w:cs="ArialUnicodeMS"/>
          <w:sz w:val="24"/>
          <w:szCs w:val="24"/>
          <w:lang w:val="en-US"/>
        </w:rPr>
        <w:lastRenderedPageBreak/>
        <w:t>[2]</w:t>
      </w:r>
      <w:r w:rsidRPr="00C82D28">
        <w:rPr>
          <w:rFonts w:ascii="ArialUnicodeMS" w:hAnsi="ArialUnicodeMS" w:cs="ArialUnicodeMS"/>
          <w:sz w:val="24"/>
          <w:szCs w:val="24"/>
          <w:lang w:val="en-US"/>
        </w:rPr>
        <w:tab/>
        <w:t>Bardou-Jacquet E, Ben Ali Z, Beaumont-Epinette MP, Loreal O, Jouanolle AM, Brissot P. Non-HFE hemochromatosis: pathophysiological and diagnostic aspects. Clin Res Hepatol Gastroenterol 2014;38(2): 143-154.</w:t>
      </w:r>
      <w:bookmarkEnd w:id="2"/>
    </w:p>
    <w:p w:rsidR="00C82D28" w:rsidRPr="00C82D28" w:rsidRDefault="00C82D28" w:rsidP="00C82D28">
      <w:pPr>
        <w:autoSpaceDE w:val="0"/>
        <w:autoSpaceDN w:val="0"/>
        <w:adjustRightInd w:val="0"/>
        <w:spacing w:after="0" w:line="240" w:lineRule="auto"/>
        <w:jc w:val="both"/>
        <w:rPr>
          <w:rFonts w:ascii="ArialUnicodeMS" w:hAnsi="ArialUnicodeMS" w:cs="ArialUnicodeMS"/>
          <w:sz w:val="24"/>
          <w:szCs w:val="24"/>
          <w:lang w:val="en-US"/>
        </w:rPr>
      </w:pPr>
      <w:bookmarkStart w:id="3" w:name="_ENREF_3"/>
      <w:r w:rsidRPr="00C82D28">
        <w:rPr>
          <w:rFonts w:ascii="ArialUnicodeMS" w:hAnsi="ArialUnicodeMS" w:cs="ArialUnicodeMS"/>
          <w:sz w:val="24"/>
          <w:szCs w:val="24"/>
          <w:lang w:val="en-US"/>
        </w:rPr>
        <w:t>[3]</w:t>
      </w:r>
      <w:r w:rsidRPr="00C82D28">
        <w:rPr>
          <w:rFonts w:ascii="ArialUnicodeMS" w:hAnsi="ArialUnicodeMS" w:cs="ArialUnicodeMS"/>
          <w:sz w:val="24"/>
          <w:szCs w:val="24"/>
          <w:lang w:val="en-US"/>
        </w:rPr>
        <w:tab/>
        <w:t>Bardou-Jacquet E, Morcet J, Manet G, Laine F, Perrin M, Jouanolle A, et al. Decreased cardiovascular and extrahepatic cancer-related mortality in treated patients with mild HFE hemochromatosis. Journal of hepatology 2014.</w:t>
      </w:r>
      <w:bookmarkEnd w:id="3"/>
    </w:p>
    <w:p w:rsidR="00C82D28" w:rsidRPr="00C82D28" w:rsidRDefault="00C82D28" w:rsidP="00C82D28">
      <w:pPr>
        <w:autoSpaceDE w:val="0"/>
        <w:autoSpaceDN w:val="0"/>
        <w:adjustRightInd w:val="0"/>
        <w:spacing w:after="0" w:line="240" w:lineRule="auto"/>
        <w:jc w:val="both"/>
        <w:rPr>
          <w:rFonts w:ascii="ArialUnicodeMS" w:hAnsi="ArialUnicodeMS" w:cs="ArialUnicodeMS"/>
          <w:sz w:val="24"/>
          <w:szCs w:val="24"/>
          <w:lang w:val="en-US"/>
        </w:rPr>
      </w:pPr>
      <w:bookmarkStart w:id="4" w:name="_ENREF_4"/>
      <w:r w:rsidRPr="00C82D28">
        <w:rPr>
          <w:rFonts w:ascii="ArialUnicodeMS" w:hAnsi="ArialUnicodeMS" w:cs="ArialUnicodeMS"/>
          <w:sz w:val="24"/>
          <w:szCs w:val="24"/>
          <w:lang w:val="en-US"/>
        </w:rPr>
        <w:t>[4]</w:t>
      </w:r>
      <w:r w:rsidRPr="00C82D28">
        <w:rPr>
          <w:rFonts w:ascii="ArialUnicodeMS" w:hAnsi="ArialUnicodeMS" w:cs="ArialUnicodeMS"/>
          <w:sz w:val="24"/>
          <w:szCs w:val="24"/>
          <w:lang w:val="en-US"/>
        </w:rPr>
        <w:tab/>
        <w:t>Feder JN. The hereditary hemochromatosis gene (HFE): a MHC class I-like gene that functions in the regulation of iron homeostasis. Immunol Res 1999;20(2): 175-185.</w:t>
      </w:r>
      <w:bookmarkEnd w:id="4"/>
    </w:p>
    <w:p w:rsidR="00C82D28" w:rsidRPr="00C82D28" w:rsidRDefault="00C82D28" w:rsidP="00C82D28">
      <w:pPr>
        <w:autoSpaceDE w:val="0"/>
        <w:autoSpaceDN w:val="0"/>
        <w:adjustRightInd w:val="0"/>
        <w:spacing w:after="0" w:line="240" w:lineRule="auto"/>
        <w:jc w:val="both"/>
        <w:rPr>
          <w:rFonts w:ascii="ArialUnicodeMS" w:hAnsi="ArialUnicodeMS" w:cs="ArialUnicodeMS"/>
          <w:sz w:val="24"/>
          <w:szCs w:val="24"/>
          <w:lang w:val="en-US"/>
        </w:rPr>
      </w:pPr>
      <w:bookmarkStart w:id="5" w:name="_ENREF_5"/>
      <w:r w:rsidRPr="00C82D28">
        <w:rPr>
          <w:rFonts w:ascii="ArialUnicodeMS" w:hAnsi="ArialUnicodeMS" w:cs="ArialUnicodeMS"/>
          <w:sz w:val="24"/>
          <w:szCs w:val="24"/>
          <w:lang w:val="en-US"/>
        </w:rPr>
        <w:t>[5]</w:t>
      </w:r>
      <w:r w:rsidRPr="00C82D28">
        <w:rPr>
          <w:rFonts w:ascii="ArialUnicodeMS" w:hAnsi="ArialUnicodeMS" w:cs="ArialUnicodeMS"/>
          <w:sz w:val="24"/>
          <w:szCs w:val="24"/>
          <w:lang w:val="en-US"/>
        </w:rPr>
        <w:tab/>
        <w:t>Goddard KA, Whitlock EP, Berg JS, Williams MS, Webber EM, Webster JA, et al. Description and pilot results from a novel method for evaluating return of incidental findings from next-generation sequencing technologies. Genetics in medicine : official journal of the American College of Medical Genetics 2013;15(9): 721-728.</w:t>
      </w:r>
      <w:bookmarkEnd w:id="5"/>
    </w:p>
    <w:p w:rsidR="00C82D28" w:rsidRPr="00C82D28" w:rsidRDefault="00C82D28" w:rsidP="00C82D28">
      <w:pPr>
        <w:autoSpaceDE w:val="0"/>
        <w:autoSpaceDN w:val="0"/>
        <w:adjustRightInd w:val="0"/>
        <w:spacing w:after="0" w:line="240" w:lineRule="auto"/>
        <w:jc w:val="both"/>
        <w:rPr>
          <w:rFonts w:ascii="ArialUnicodeMS" w:hAnsi="ArialUnicodeMS" w:cs="ArialUnicodeMS"/>
          <w:sz w:val="24"/>
          <w:szCs w:val="24"/>
          <w:lang w:val="en-US"/>
        </w:rPr>
      </w:pPr>
      <w:bookmarkStart w:id="6" w:name="_ENREF_6"/>
      <w:r w:rsidRPr="00C82D28">
        <w:rPr>
          <w:rFonts w:ascii="ArialUnicodeMS" w:hAnsi="ArialUnicodeMS" w:cs="ArialUnicodeMS"/>
          <w:sz w:val="24"/>
          <w:szCs w:val="24"/>
          <w:lang w:val="en-US"/>
        </w:rPr>
        <w:t>[6]</w:t>
      </w:r>
      <w:r w:rsidRPr="00C82D28">
        <w:rPr>
          <w:rFonts w:ascii="ArialUnicodeMS" w:hAnsi="ArialUnicodeMS" w:cs="ArialUnicodeMS"/>
          <w:sz w:val="24"/>
          <w:szCs w:val="24"/>
          <w:lang w:val="en-US"/>
        </w:rPr>
        <w:tab/>
        <w:t>Harris ZL. Aceruloplasminemia. J Neurol Sci 2003;207(1-2): 108-109.</w:t>
      </w:r>
      <w:bookmarkEnd w:id="6"/>
    </w:p>
    <w:p w:rsidR="00C82D28" w:rsidRPr="00C82D28" w:rsidRDefault="00C82D28" w:rsidP="00C82D28">
      <w:pPr>
        <w:autoSpaceDE w:val="0"/>
        <w:autoSpaceDN w:val="0"/>
        <w:adjustRightInd w:val="0"/>
        <w:spacing w:after="0" w:line="240" w:lineRule="auto"/>
        <w:jc w:val="both"/>
        <w:rPr>
          <w:rFonts w:ascii="ArialUnicodeMS" w:hAnsi="ArialUnicodeMS" w:cs="ArialUnicodeMS"/>
          <w:sz w:val="24"/>
          <w:szCs w:val="24"/>
          <w:lang w:val="en-US"/>
        </w:rPr>
      </w:pPr>
      <w:bookmarkStart w:id="7" w:name="_ENREF_7"/>
      <w:r w:rsidRPr="00C82D28">
        <w:rPr>
          <w:rFonts w:ascii="ArialUnicodeMS" w:hAnsi="ArialUnicodeMS" w:cs="ArialUnicodeMS"/>
          <w:sz w:val="24"/>
          <w:szCs w:val="24"/>
          <w:lang w:val="en-US"/>
        </w:rPr>
        <w:t>[7]</w:t>
      </w:r>
      <w:r w:rsidRPr="00C82D28">
        <w:rPr>
          <w:rFonts w:ascii="ArialUnicodeMS" w:hAnsi="ArialUnicodeMS" w:cs="ArialUnicodeMS"/>
          <w:sz w:val="24"/>
          <w:szCs w:val="24"/>
          <w:lang w:val="en-US"/>
        </w:rPr>
        <w:tab/>
        <w:t>Lambrecht RW, Sterling RK, Naishadham D, Stoddard AM, Rogers T, Morishima C, et al. Iron levels in hepatocytes and portal tract cells predict progression and outcomes of patients with advanced chronic hepatitis C. Gastroenterology 2011;140(5): 1490-1500 e1493.</w:t>
      </w:r>
      <w:bookmarkEnd w:id="7"/>
    </w:p>
    <w:p w:rsidR="00C82D28" w:rsidRPr="00C82D28" w:rsidRDefault="00C82D28" w:rsidP="00C82D28">
      <w:pPr>
        <w:autoSpaceDE w:val="0"/>
        <w:autoSpaceDN w:val="0"/>
        <w:adjustRightInd w:val="0"/>
        <w:spacing w:after="0" w:line="240" w:lineRule="auto"/>
        <w:jc w:val="both"/>
        <w:rPr>
          <w:rFonts w:ascii="ArialUnicodeMS" w:hAnsi="ArialUnicodeMS" w:cs="ArialUnicodeMS"/>
          <w:sz w:val="24"/>
          <w:szCs w:val="24"/>
          <w:lang w:val="en-US"/>
        </w:rPr>
      </w:pPr>
      <w:bookmarkStart w:id="8" w:name="_ENREF_8"/>
      <w:r w:rsidRPr="00740DC1">
        <w:rPr>
          <w:rFonts w:ascii="ArialUnicodeMS" w:hAnsi="ArialUnicodeMS" w:cs="ArialUnicodeMS"/>
          <w:sz w:val="24"/>
          <w:szCs w:val="24"/>
          <w:lang w:val="de-AT"/>
        </w:rPr>
        <w:t>[8]</w:t>
      </w:r>
      <w:r w:rsidRPr="00740DC1">
        <w:rPr>
          <w:rFonts w:ascii="ArialUnicodeMS" w:hAnsi="ArialUnicodeMS" w:cs="ArialUnicodeMS"/>
          <w:sz w:val="24"/>
          <w:szCs w:val="24"/>
          <w:lang w:val="de-AT"/>
        </w:rPr>
        <w:tab/>
        <w:t xml:space="preserve">Mayr R, Janecke AR, Schranz M, Griffiths W, Vogel W, Pietrangelo A, et al. </w:t>
      </w:r>
      <w:r w:rsidRPr="00C82D28">
        <w:rPr>
          <w:rFonts w:ascii="ArialUnicodeMS" w:hAnsi="ArialUnicodeMS" w:cs="ArialUnicodeMS"/>
          <w:sz w:val="24"/>
          <w:szCs w:val="24"/>
          <w:lang w:val="en-US"/>
        </w:rPr>
        <w:t>Ferroportin Disease: A systematic meta-analysis of clinical and molecular findings. J Hepatol 2010;in press.</w:t>
      </w:r>
      <w:bookmarkEnd w:id="8"/>
    </w:p>
    <w:p w:rsidR="00C82D28" w:rsidRPr="00C82D28" w:rsidRDefault="00C82D28" w:rsidP="00C82D28">
      <w:pPr>
        <w:autoSpaceDE w:val="0"/>
        <w:autoSpaceDN w:val="0"/>
        <w:adjustRightInd w:val="0"/>
        <w:spacing w:after="0" w:line="240" w:lineRule="auto"/>
        <w:jc w:val="both"/>
        <w:rPr>
          <w:rFonts w:ascii="ArialUnicodeMS" w:hAnsi="ArialUnicodeMS" w:cs="ArialUnicodeMS"/>
          <w:sz w:val="24"/>
          <w:szCs w:val="24"/>
          <w:lang w:val="en-US"/>
        </w:rPr>
      </w:pPr>
      <w:bookmarkStart w:id="9" w:name="_ENREF_9"/>
      <w:r w:rsidRPr="00C82D28">
        <w:rPr>
          <w:rFonts w:ascii="ArialUnicodeMS" w:hAnsi="ArialUnicodeMS" w:cs="ArialUnicodeMS"/>
          <w:sz w:val="24"/>
          <w:szCs w:val="24"/>
          <w:lang w:val="en-US"/>
        </w:rPr>
        <w:t>[9]</w:t>
      </w:r>
      <w:r w:rsidRPr="00C82D28">
        <w:rPr>
          <w:rFonts w:ascii="ArialUnicodeMS" w:hAnsi="ArialUnicodeMS" w:cs="ArialUnicodeMS"/>
          <w:sz w:val="24"/>
          <w:szCs w:val="24"/>
          <w:lang w:val="en-US"/>
        </w:rPr>
        <w:tab/>
        <w:t>Niederau C, Fischer R, Purschel A, Stremmel W, Haussinger D, Strohmeyer G. Long-term survival in patients with hereditary hemochromatosis. Gastroenterology 1996;110(4): 1107-1119.</w:t>
      </w:r>
      <w:bookmarkEnd w:id="9"/>
    </w:p>
    <w:p w:rsidR="00C82D28" w:rsidRPr="00C82D28" w:rsidRDefault="00C82D28" w:rsidP="00C82D28">
      <w:pPr>
        <w:autoSpaceDE w:val="0"/>
        <w:autoSpaceDN w:val="0"/>
        <w:adjustRightInd w:val="0"/>
        <w:spacing w:after="0" w:line="240" w:lineRule="auto"/>
        <w:jc w:val="both"/>
        <w:rPr>
          <w:rFonts w:ascii="ArialUnicodeMS" w:hAnsi="ArialUnicodeMS" w:cs="ArialUnicodeMS"/>
          <w:sz w:val="24"/>
          <w:szCs w:val="24"/>
          <w:lang w:val="en-US"/>
        </w:rPr>
      </w:pPr>
      <w:bookmarkStart w:id="10" w:name="_ENREF_10"/>
      <w:r w:rsidRPr="00C82D28">
        <w:rPr>
          <w:rFonts w:ascii="ArialUnicodeMS" w:hAnsi="ArialUnicodeMS" w:cs="ArialUnicodeMS"/>
          <w:sz w:val="24"/>
          <w:szCs w:val="24"/>
          <w:lang w:val="en-US"/>
        </w:rPr>
        <w:t>[10]</w:t>
      </w:r>
      <w:r w:rsidRPr="00C82D28">
        <w:rPr>
          <w:rFonts w:ascii="ArialUnicodeMS" w:hAnsi="ArialUnicodeMS" w:cs="ArialUnicodeMS"/>
          <w:sz w:val="24"/>
          <w:szCs w:val="24"/>
          <w:lang w:val="en-US"/>
        </w:rPr>
        <w:tab/>
        <w:t>O'Brien J, Powell LW. Non-alcoholic fatty liver disease: is iron relevant? Hepatol Int 2011.</w:t>
      </w:r>
      <w:bookmarkEnd w:id="10"/>
    </w:p>
    <w:p w:rsidR="00C82D28" w:rsidRDefault="00C82D28" w:rsidP="00FA7E06">
      <w:pPr>
        <w:autoSpaceDE w:val="0"/>
        <w:autoSpaceDN w:val="0"/>
        <w:adjustRightInd w:val="0"/>
        <w:spacing w:after="0" w:line="240" w:lineRule="auto"/>
        <w:jc w:val="both"/>
        <w:rPr>
          <w:rFonts w:ascii="ArialUnicodeMS" w:hAnsi="ArialUnicodeMS" w:cs="ArialUnicodeMS"/>
          <w:b/>
          <w:sz w:val="24"/>
          <w:szCs w:val="24"/>
          <w:lang w:val="en-US"/>
        </w:rPr>
      </w:pPr>
    </w:p>
    <w:p w:rsidR="00C82D28" w:rsidRDefault="00C82D28" w:rsidP="00FA7E06">
      <w:pPr>
        <w:autoSpaceDE w:val="0"/>
        <w:autoSpaceDN w:val="0"/>
        <w:adjustRightInd w:val="0"/>
        <w:spacing w:after="0" w:line="240" w:lineRule="auto"/>
        <w:jc w:val="both"/>
        <w:rPr>
          <w:rFonts w:ascii="ArialUnicodeMS" w:hAnsi="ArialUnicodeMS" w:cs="ArialUnicodeMS"/>
          <w:b/>
          <w:sz w:val="24"/>
          <w:szCs w:val="24"/>
          <w:lang w:val="en-US"/>
        </w:rPr>
      </w:pPr>
    </w:p>
    <w:p w:rsidR="00C82D28" w:rsidRDefault="00C82D28" w:rsidP="00FA7E06">
      <w:pPr>
        <w:autoSpaceDE w:val="0"/>
        <w:autoSpaceDN w:val="0"/>
        <w:adjustRightInd w:val="0"/>
        <w:spacing w:after="0" w:line="240" w:lineRule="auto"/>
        <w:jc w:val="both"/>
        <w:rPr>
          <w:rFonts w:ascii="ArialUnicodeMS" w:hAnsi="ArialUnicodeMS" w:cs="ArialUnicodeMS"/>
          <w:b/>
          <w:sz w:val="24"/>
          <w:szCs w:val="24"/>
          <w:lang w:val="en-US"/>
        </w:rPr>
      </w:pPr>
    </w:p>
    <w:p w:rsidR="00FA7E06" w:rsidRDefault="00C82D28" w:rsidP="00FA7E06">
      <w:pPr>
        <w:autoSpaceDE w:val="0"/>
        <w:autoSpaceDN w:val="0"/>
        <w:adjustRightInd w:val="0"/>
        <w:spacing w:after="0" w:line="240" w:lineRule="auto"/>
        <w:jc w:val="both"/>
        <w:rPr>
          <w:rFonts w:ascii="ArialUnicodeMS" w:hAnsi="ArialUnicodeMS" w:cs="ArialUnicodeMS"/>
          <w:b/>
          <w:sz w:val="24"/>
          <w:szCs w:val="24"/>
          <w:lang w:val="en-US"/>
        </w:rPr>
      </w:pPr>
      <w:r>
        <w:rPr>
          <w:rFonts w:ascii="ArialUnicodeMS" w:hAnsi="ArialUnicodeMS" w:cs="ArialUnicodeMS"/>
          <w:b/>
          <w:sz w:val="24"/>
          <w:szCs w:val="24"/>
          <w:lang w:val="en-US"/>
        </w:rPr>
        <w:t>9</w:t>
      </w:r>
      <w:r w:rsidR="00FA7E06" w:rsidRPr="00FA7E06">
        <w:rPr>
          <w:rFonts w:ascii="ArialUnicodeMS" w:hAnsi="ArialUnicodeMS" w:cs="ArialUnicodeMS"/>
          <w:b/>
          <w:sz w:val="24"/>
          <w:szCs w:val="24"/>
          <w:lang w:val="en-US"/>
        </w:rPr>
        <w:t>. Signatures</w:t>
      </w:r>
    </w:p>
    <w:p w:rsidR="00FA7E06" w:rsidRDefault="00FA7E06" w:rsidP="00FA7E06">
      <w:pPr>
        <w:autoSpaceDE w:val="0"/>
        <w:autoSpaceDN w:val="0"/>
        <w:adjustRightInd w:val="0"/>
        <w:spacing w:after="0" w:line="240" w:lineRule="auto"/>
        <w:jc w:val="both"/>
        <w:rPr>
          <w:rFonts w:ascii="ArialUnicodeMS" w:hAnsi="ArialUnicodeMS" w:cs="ArialUnicodeMS"/>
          <w:b/>
          <w:sz w:val="24"/>
          <w:szCs w:val="24"/>
          <w:lang w:val="en-US"/>
        </w:rPr>
      </w:pPr>
    </w:p>
    <w:p w:rsidR="00C82D28" w:rsidRDefault="00C82D28" w:rsidP="00FA7E06">
      <w:pPr>
        <w:autoSpaceDE w:val="0"/>
        <w:autoSpaceDN w:val="0"/>
        <w:adjustRightInd w:val="0"/>
        <w:spacing w:after="0" w:line="240" w:lineRule="auto"/>
        <w:jc w:val="both"/>
        <w:rPr>
          <w:rFonts w:ascii="ArialUnicodeMS" w:hAnsi="ArialUnicodeMS" w:cs="ArialUnicodeMS"/>
          <w:b/>
          <w:sz w:val="24"/>
          <w:szCs w:val="24"/>
          <w:lang w:val="en-US"/>
        </w:rPr>
      </w:pPr>
    </w:p>
    <w:p w:rsidR="00C82D28" w:rsidRPr="00FA7E06" w:rsidRDefault="00C82D28" w:rsidP="00FA7E06">
      <w:pPr>
        <w:autoSpaceDE w:val="0"/>
        <w:autoSpaceDN w:val="0"/>
        <w:adjustRightInd w:val="0"/>
        <w:spacing w:after="0" w:line="240" w:lineRule="auto"/>
        <w:jc w:val="both"/>
        <w:rPr>
          <w:rFonts w:ascii="ArialUnicodeMS" w:hAnsi="ArialUnicodeMS" w:cs="ArialUnicodeMS"/>
          <w:b/>
          <w:sz w:val="24"/>
          <w:szCs w:val="24"/>
          <w:lang w:val="en-US"/>
        </w:rPr>
      </w:pPr>
    </w:p>
    <w:p w:rsidR="002E4A93" w:rsidRPr="00FA7E06" w:rsidRDefault="0067029B" w:rsidP="00FA7E06">
      <w:pPr>
        <w:autoSpaceDE w:val="0"/>
        <w:autoSpaceDN w:val="0"/>
        <w:adjustRightInd w:val="0"/>
        <w:spacing w:after="0" w:line="240" w:lineRule="auto"/>
        <w:jc w:val="both"/>
        <w:rPr>
          <w:rFonts w:ascii="ArialUnicodeMS" w:hAnsi="ArialUnicodeMS" w:cs="ArialUnicodeMS"/>
          <w:sz w:val="24"/>
          <w:szCs w:val="24"/>
          <w:lang w:val="en-US"/>
        </w:rPr>
      </w:pPr>
      <w:r w:rsidRPr="00FA7E06">
        <w:rPr>
          <w:rFonts w:ascii="ArialUnicodeMS" w:hAnsi="ArialUnicodeMS" w:cs="ArialUnicodeMS"/>
          <w:sz w:val="24"/>
          <w:szCs w:val="24"/>
          <w:lang w:val="en-US"/>
        </w:rPr>
        <w:t>Klinikvorstand</w:t>
      </w:r>
      <w:r w:rsidR="002E4A93" w:rsidRPr="00FA7E06">
        <w:rPr>
          <w:rFonts w:ascii="ArialUnicodeMS" w:hAnsi="ArialUnicodeMS" w:cs="ArialUnicodeMS"/>
          <w:sz w:val="24"/>
          <w:szCs w:val="24"/>
          <w:lang w:val="en-US"/>
        </w:rPr>
        <w:t xml:space="preserve"> </w:t>
      </w:r>
      <w:r w:rsidR="0052294A" w:rsidRPr="00FA7E06">
        <w:rPr>
          <w:rFonts w:ascii="ArialUnicodeMS" w:hAnsi="ArialUnicodeMS" w:cs="ArialUnicodeMS"/>
          <w:sz w:val="24"/>
          <w:szCs w:val="24"/>
          <w:lang w:val="en-US"/>
        </w:rPr>
        <w:tab/>
      </w:r>
      <w:r w:rsidR="0052294A" w:rsidRPr="00FA7E06">
        <w:rPr>
          <w:rFonts w:ascii="ArialUnicodeMS" w:hAnsi="ArialUnicodeMS" w:cs="ArialUnicodeMS"/>
          <w:sz w:val="24"/>
          <w:szCs w:val="24"/>
          <w:lang w:val="en-US"/>
        </w:rPr>
        <w:tab/>
      </w:r>
      <w:r w:rsidR="0052294A" w:rsidRPr="00FA7E06">
        <w:rPr>
          <w:rFonts w:ascii="ArialUnicodeMS" w:hAnsi="ArialUnicodeMS" w:cs="ArialUnicodeMS"/>
          <w:sz w:val="24"/>
          <w:szCs w:val="24"/>
          <w:lang w:val="en-US"/>
        </w:rPr>
        <w:tab/>
      </w:r>
      <w:r w:rsidR="0052294A" w:rsidRPr="00FA7E06">
        <w:rPr>
          <w:rFonts w:ascii="ArialUnicodeMS" w:hAnsi="ArialUnicodeMS" w:cs="ArialUnicodeMS"/>
          <w:sz w:val="24"/>
          <w:szCs w:val="24"/>
          <w:lang w:val="en-US"/>
        </w:rPr>
        <w:tab/>
      </w:r>
      <w:r w:rsidR="0052294A" w:rsidRPr="00FA7E06">
        <w:rPr>
          <w:rFonts w:ascii="ArialUnicodeMS" w:hAnsi="ArialUnicodeMS" w:cs="ArialUnicodeMS"/>
          <w:sz w:val="24"/>
          <w:szCs w:val="24"/>
          <w:lang w:val="en-US"/>
        </w:rPr>
        <w:tab/>
      </w:r>
      <w:r w:rsidR="0052294A" w:rsidRPr="00FA7E06">
        <w:rPr>
          <w:rFonts w:ascii="ArialUnicodeMS" w:hAnsi="ArialUnicodeMS" w:cs="ArialUnicodeMS"/>
          <w:sz w:val="24"/>
          <w:szCs w:val="24"/>
          <w:lang w:val="en-US"/>
        </w:rPr>
        <w:tab/>
      </w:r>
      <w:r w:rsidR="0052294A" w:rsidRPr="00FA7E06">
        <w:rPr>
          <w:rFonts w:ascii="ArialUnicodeMS" w:hAnsi="ArialUnicodeMS" w:cs="ArialUnicodeMS"/>
          <w:sz w:val="24"/>
          <w:szCs w:val="24"/>
          <w:lang w:val="en-US"/>
        </w:rPr>
        <w:tab/>
        <w:t>P</w:t>
      </w:r>
      <w:r w:rsidR="002E4A93" w:rsidRPr="00FA7E06">
        <w:rPr>
          <w:rFonts w:ascii="ArialUnicodeMS" w:hAnsi="ArialUnicodeMS" w:cs="ArialUnicodeMS"/>
          <w:sz w:val="24"/>
          <w:szCs w:val="24"/>
          <w:lang w:val="en-US"/>
        </w:rPr>
        <w:t xml:space="preserve">rinicipal </w:t>
      </w:r>
      <w:r w:rsidR="0052294A" w:rsidRPr="00FA7E06">
        <w:rPr>
          <w:rFonts w:ascii="ArialUnicodeMS" w:hAnsi="ArialUnicodeMS" w:cs="ArialUnicodeMS"/>
          <w:sz w:val="24"/>
          <w:szCs w:val="24"/>
          <w:lang w:val="en-US"/>
        </w:rPr>
        <w:t>I</w:t>
      </w:r>
      <w:r w:rsidR="002E4A93" w:rsidRPr="00FA7E06">
        <w:rPr>
          <w:rFonts w:ascii="ArialUnicodeMS" w:hAnsi="ArialUnicodeMS" w:cs="ArialUnicodeMS"/>
          <w:sz w:val="24"/>
          <w:szCs w:val="24"/>
          <w:lang w:val="en-US"/>
        </w:rPr>
        <w:t>nvestigator:</w:t>
      </w:r>
    </w:p>
    <w:p w:rsidR="002E4A93" w:rsidRPr="00FA7E06" w:rsidRDefault="002E4A93" w:rsidP="00FA7E06">
      <w:pPr>
        <w:autoSpaceDE w:val="0"/>
        <w:autoSpaceDN w:val="0"/>
        <w:adjustRightInd w:val="0"/>
        <w:spacing w:after="0" w:line="240" w:lineRule="auto"/>
        <w:jc w:val="both"/>
        <w:rPr>
          <w:rFonts w:ascii="ArialUnicodeMS" w:hAnsi="ArialUnicodeMS" w:cs="ArialUnicodeMS"/>
          <w:sz w:val="24"/>
          <w:szCs w:val="24"/>
          <w:lang w:val="en-US"/>
        </w:rPr>
      </w:pPr>
    </w:p>
    <w:p w:rsidR="002E4A93" w:rsidRPr="00FA7E06" w:rsidRDefault="0052294A" w:rsidP="00FA7E06">
      <w:pPr>
        <w:autoSpaceDE w:val="0"/>
        <w:autoSpaceDN w:val="0"/>
        <w:adjustRightInd w:val="0"/>
        <w:spacing w:after="0" w:line="240" w:lineRule="auto"/>
        <w:jc w:val="both"/>
        <w:rPr>
          <w:rFonts w:ascii="ArialUnicodeMS" w:hAnsi="ArialUnicodeMS" w:cs="ArialUnicodeMS"/>
          <w:sz w:val="24"/>
          <w:szCs w:val="24"/>
          <w:lang w:val="en-US"/>
        </w:rPr>
      </w:pPr>
      <w:r w:rsidRPr="00FA7E06">
        <w:rPr>
          <w:rFonts w:ascii="ArialUnicodeMS" w:hAnsi="ArialUnicodeMS" w:cs="ArialUnicodeMS"/>
          <w:sz w:val="24"/>
          <w:szCs w:val="24"/>
          <w:lang w:val="en-US"/>
        </w:rPr>
        <w:t>____________________________</w:t>
      </w:r>
      <w:r w:rsidRPr="00FA7E06">
        <w:rPr>
          <w:rFonts w:ascii="ArialUnicodeMS" w:hAnsi="ArialUnicodeMS" w:cs="ArialUnicodeMS"/>
          <w:sz w:val="24"/>
          <w:szCs w:val="24"/>
          <w:lang w:val="en-US"/>
        </w:rPr>
        <w:tab/>
      </w:r>
      <w:r w:rsidR="00FA7E06">
        <w:rPr>
          <w:rFonts w:ascii="ArialUnicodeMS" w:hAnsi="ArialUnicodeMS" w:cs="ArialUnicodeMS"/>
          <w:sz w:val="24"/>
          <w:szCs w:val="24"/>
          <w:lang w:val="en-US"/>
        </w:rPr>
        <w:tab/>
      </w:r>
      <w:r w:rsidR="002E4A93" w:rsidRPr="00FA7E06">
        <w:rPr>
          <w:rFonts w:ascii="ArialUnicodeMS" w:hAnsi="ArialUnicodeMS" w:cs="ArialUnicodeMS"/>
          <w:sz w:val="24"/>
          <w:szCs w:val="24"/>
          <w:lang w:val="en-US"/>
        </w:rPr>
        <w:t>_________________</w:t>
      </w:r>
      <w:r w:rsidRPr="00FA7E06">
        <w:rPr>
          <w:rFonts w:ascii="ArialUnicodeMS" w:hAnsi="ArialUnicodeMS" w:cs="ArialUnicodeMS"/>
          <w:sz w:val="24"/>
          <w:szCs w:val="24"/>
          <w:lang w:val="en-US"/>
        </w:rPr>
        <w:t>____________</w:t>
      </w:r>
    </w:p>
    <w:p w:rsidR="002E4A93" w:rsidRPr="00FA7E06" w:rsidRDefault="0052294A" w:rsidP="00FA7E06">
      <w:pPr>
        <w:autoSpaceDE w:val="0"/>
        <w:autoSpaceDN w:val="0"/>
        <w:adjustRightInd w:val="0"/>
        <w:spacing w:after="0" w:line="240" w:lineRule="auto"/>
        <w:jc w:val="both"/>
        <w:rPr>
          <w:rFonts w:ascii="ArialUnicodeMS" w:hAnsi="ArialUnicodeMS" w:cs="ArialUnicodeMS"/>
          <w:sz w:val="24"/>
          <w:szCs w:val="24"/>
          <w:lang w:val="en-US"/>
        </w:rPr>
      </w:pPr>
      <w:r w:rsidRPr="00FA7E06">
        <w:rPr>
          <w:rFonts w:ascii="ArialUnicodeMS" w:hAnsi="ArialUnicodeMS" w:cs="ArialUnicodeMS"/>
          <w:sz w:val="24"/>
          <w:szCs w:val="24"/>
          <w:lang w:val="en-US"/>
        </w:rPr>
        <w:t>Date, Place, Signature</w:t>
      </w:r>
      <w:r w:rsidRPr="00FA7E06">
        <w:rPr>
          <w:rFonts w:ascii="ArialUnicodeMS" w:hAnsi="ArialUnicodeMS" w:cs="ArialUnicodeMS"/>
          <w:sz w:val="24"/>
          <w:szCs w:val="24"/>
          <w:lang w:val="en-US"/>
        </w:rPr>
        <w:tab/>
      </w:r>
      <w:r w:rsidRPr="00FA7E06">
        <w:rPr>
          <w:rFonts w:ascii="ArialUnicodeMS" w:hAnsi="ArialUnicodeMS" w:cs="ArialUnicodeMS"/>
          <w:sz w:val="24"/>
          <w:szCs w:val="24"/>
          <w:lang w:val="en-US"/>
        </w:rPr>
        <w:tab/>
      </w:r>
      <w:r w:rsidRPr="00FA7E06">
        <w:rPr>
          <w:rFonts w:ascii="ArialUnicodeMS" w:hAnsi="ArialUnicodeMS" w:cs="ArialUnicodeMS"/>
          <w:sz w:val="24"/>
          <w:szCs w:val="24"/>
          <w:lang w:val="en-US"/>
        </w:rPr>
        <w:tab/>
      </w:r>
      <w:r w:rsidRPr="00FA7E06">
        <w:rPr>
          <w:rFonts w:ascii="ArialUnicodeMS" w:hAnsi="ArialUnicodeMS" w:cs="ArialUnicodeMS"/>
          <w:sz w:val="24"/>
          <w:szCs w:val="24"/>
          <w:lang w:val="en-US"/>
        </w:rPr>
        <w:tab/>
        <w:t xml:space="preserve">Date, Place, Signature </w:t>
      </w:r>
    </w:p>
    <w:p w:rsidR="00B534B1" w:rsidRPr="00FA7E06" w:rsidRDefault="00B534B1" w:rsidP="00FA7E06">
      <w:pPr>
        <w:autoSpaceDE w:val="0"/>
        <w:autoSpaceDN w:val="0"/>
        <w:adjustRightInd w:val="0"/>
        <w:spacing w:after="0" w:line="240" w:lineRule="auto"/>
        <w:jc w:val="both"/>
        <w:rPr>
          <w:rFonts w:ascii="ArialUnicodeMS" w:hAnsi="ArialUnicodeMS" w:cs="ArialUnicodeMS"/>
          <w:sz w:val="24"/>
          <w:szCs w:val="24"/>
          <w:lang w:val="en-US"/>
        </w:rPr>
      </w:pPr>
    </w:p>
    <w:sectPr w:rsidR="00B534B1" w:rsidRPr="00FA7E06">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B19" w:rsidRDefault="00707B19" w:rsidP="008D2A60">
      <w:pPr>
        <w:spacing w:after="0" w:line="240" w:lineRule="auto"/>
      </w:pPr>
      <w:r>
        <w:separator/>
      </w:r>
    </w:p>
  </w:endnote>
  <w:endnote w:type="continuationSeparator" w:id="0">
    <w:p w:rsidR="00707B19" w:rsidRDefault="00707B19" w:rsidP="008D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Unicode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348036"/>
      <w:docPartObj>
        <w:docPartGallery w:val="Page Numbers (Bottom of Page)"/>
        <w:docPartUnique/>
      </w:docPartObj>
    </w:sdtPr>
    <w:sdtEndPr/>
    <w:sdtContent>
      <w:p w:rsidR="009D1D2A" w:rsidRDefault="009D1D2A" w:rsidP="00C82D28">
        <w:pPr>
          <w:pStyle w:val="Fuzeile"/>
          <w:pBdr>
            <w:top w:val="single" w:sz="4" w:space="1" w:color="auto"/>
          </w:pBdr>
          <w:jc w:val="right"/>
        </w:pPr>
        <w:r>
          <w:tab/>
        </w:r>
        <w:r>
          <w:tab/>
          <w:t xml:space="preserve">Seite </w:t>
        </w:r>
        <w:r>
          <w:fldChar w:fldCharType="begin"/>
        </w:r>
        <w:r>
          <w:instrText>PAGE   \* MERGEFORMAT</w:instrText>
        </w:r>
        <w:r>
          <w:fldChar w:fldCharType="separate"/>
        </w:r>
        <w:r w:rsidR="00740DC1">
          <w:rPr>
            <w:noProof/>
          </w:rPr>
          <w:t>4</w:t>
        </w:r>
        <w:r>
          <w:fldChar w:fldCharType="end"/>
        </w:r>
        <w:r>
          <w:t xml:space="preserve"> von </w:t>
        </w:r>
        <w:r w:rsidR="00C82D28">
          <w:t>4</w:t>
        </w:r>
      </w:p>
    </w:sdtContent>
  </w:sdt>
  <w:p w:rsidR="009D1D2A" w:rsidRDefault="009D1D2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B19" w:rsidRDefault="00707B19" w:rsidP="008D2A60">
      <w:pPr>
        <w:spacing w:after="0" w:line="240" w:lineRule="auto"/>
      </w:pPr>
      <w:r>
        <w:separator/>
      </w:r>
    </w:p>
  </w:footnote>
  <w:footnote w:type="continuationSeparator" w:id="0">
    <w:p w:rsidR="00707B19" w:rsidRDefault="00707B19" w:rsidP="008D2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82B" w:rsidRPr="004B682B" w:rsidRDefault="004B682B" w:rsidP="004B682B">
    <w:pPr>
      <w:pStyle w:val="Kopfzeile"/>
      <w:pBdr>
        <w:bottom w:val="single" w:sz="4" w:space="1" w:color="auto"/>
      </w:pBdr>
      <w:jc w:val="center"/>
      <w:rPr>
        <w:lang w:val="en-US"/>
      </w:rPr>
    </w:pPr>
    <w:r w:rsidRPr="004B682B">
      <w:rPr>
        <w:lang w:val="en-US"/>
      </w:rPr>
      <w:t>Study Protocol „Non-HFE Hemochromatosis Registry“</w:t>
    </w:r>
  </w:p>
  <w:p w:rsidR="004B682B" w:rsidRPr="004B682B" w:rsidRDefault="004B682B">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00F4E"/>
    <w:multiLevelType w:val="hybridMultilevel"/>
    <w:tmpl w:val="2A6602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A8E7EFA"/>
    <w:multiLevelType w:val="hybridMultilevel"/>
    <w:tmpl w:val="06D0D71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9A65F0"/>
    <w:multiLevelType w:val="hybridMultilevel"/>
    <w:tmpl w:val="33A4A1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6691AEA"/>
    <w:multiLevelType w:val="hybridMultilevel"/>
    <w:tmpl w:val="AEAED61A"/>
    <w:lvl w:ilvl="0" w:tplc="0407000F">
      <w:start w:val="1"/>
      <w:numFmt w:val="decimal"/>
      <w:lvlText w:val="%1."/>
      <w:lvlJc w:val="left"/>
      <w:pPr>
        <w:ind w:left="2912" w:hanging="360"/>
      </w:pPr>
      <w:rPr>
        <w:rFonts w:hint="default"/>
      </w:rPr>
    </w:lvl>
    <w:lvl w:ilvl="1" w:tplc="04070019" w:tentative="1">
      <w:start w:val="1"/>
      <w:numFmt w:val="lowerLetter"/>
      <w:lvlText w:val="%2."/>
      <w:lvlJc w:val="left"/>
      <w:pPr>
        <w:ind w:left="3632" w:hanging="360"/>
      </w:pPr>
    </w:lvl>
    <w:lvl w:ilvl="2" w:tplc="0407001B" w:tentative="1">
      <w:start w:val="1"/>
      <w:numFmt w:val="lowerRoman"/>
      <w:lvlText w:val="%3."/>
      <w:lvlJc w:val="right"/>
      <w:pPr>
        <w:ind w:left="4352" w:hanging="180"/>
      </w:pPr>
    </w:lvl>
    <w:lvl w:ilvl="3" w:tplc="0407000F" w:tentative="1">
      <w:start w:val="1"/>
      <w:numFmt w:val="decimal"/>
      <w:lvlText w:val="%4."/>
      <w:lvlJc w:val="left"/>
      <w:pPr>
        <w:ind w:left="5072" w:hanging="360"/>
      </w:pPr>
    </w:lvl>
    <w:lvl w:ilvl="4" w:tplc="04070019" w:tentative="1">
      <w:start w:val="1"/>
      <w:numFmt w:val="lowerLetter"/>
      <w:lvlText w:val="%5."/>
      <w:lvlJc w:val="left"/>
      <w:pPr>
        <w:ind w:left="5792" w:hanging="360"/>
      </w:pPr>
    </w:lvl>
    <w:lvl w:ilvl="5" w:tplc="0407001B" w:tentative="1">
      <w:start w:val="1"/>
      <w:numFmt w:val="lowerRoman"/>
      <w:lvlText w:val="%6."/>
      <w:lvlJc w:val="right"/>
      <w:pPr>
        <w:ind w:left="6512" w:hanging="180"/>
      </w:pPr>
    </w:lvl>
    <w:lvl w:ilvl="6" w:tplc="0407000F" w:tentative="1">
      <w:start w:val="1"/>
      <w:numFmt w:val="decimal"/>
      <w:lvlText w:val="%7."/>
      <w:lvlJc w:val="left"/>
      <w:pPr>
        <w:ind w:left="7232" w:hanging="360"/>
      </w:pPr>
    </w:lvl>
    <w:lvl w:ilvl="7" w:tplc="04070019" w:tentative="1">
      <w:start w:val="1"/>
      <w:numFmt w:val="lowerLetter"/>
      <w:lvlText w:val="%8."/>
      <w:lvlJc w:val="left"/>
      <w:pPr>
        <w:ind w:left="7952" w:hanging="360"/>
      </w:pPr>
    </w:lvl>
    <w:lvl w:ilvl="8" w:tplc="0407001B" w:tentative="1">
      <w:start w:val="1"/>
      <w:numFmt w:val="lowerRoman"/>
      <w:lvlText w:val="%9."/>
      <w:lvlJc w:val="right"/>
      <w:pPr>
        <w:ind w:left="8672"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arzexzdks0p0vex222x5rvmsz9p20t9sxtz&quot;&gt;NAS&lt;record-ids&gt;&lt;item&gt;1&lt;/item&gt;&lt;item&gt;2&lt;/item&gt;&lt;/record-ids&gt;&lt;/item&gt;&lt;/Libraries&gt;"/>
  </w:docVars>
  <w:rsids>
    <w:rsidRoot w:val="007A4B3A"/>
    <w:rsid w:val="000923CA"/>
    <w:rsid w:val="000D734F"/>
    <w:rsid w:val="00111FC0"/>
    <w:rsid w:val="00195E80"/>
    <w:rsid w:val="002E4A93"/>
    <w:rsid w:val="00370607"/>
    <w:rsid w:val="00424CF0"/>
    <w:rsid w:val="00440395"/>
    <w:rsid w:val="004A2AD2"/>
    <w:rsid w:val="004B682B"/>
    <w:rsid w:val="004C0B1B"/>
    <w:rsid w:val="0052294A"/>
    <w:rsid w:val="005F673E"/>
    <w:rsid w:val="0067029B"/>
    <w:rsid w:val="00707B19"/>
    <w:rsid w:val="00740DC1"/>
    <w:rsid w:val="00797F03"/>
    <w:rsid w:val="007A4B3A"/>
    <w:rsid w:val="007B0894"/>
    <w:rsid w:val="00840AA8"/>
    <w:rsid w:val="008D2A60"/>
    <w:rsid w:val="008F6DFF"/>
    <w:rsid w:val="009539A8"/>
    <w:rsid w:val="009769DD"/>
    <w:rsid w:val="009828FD"/>
    <w:rsid w:val="009B6DF5"/>
    <w:rsid w:val="009D1D2A"/>
    <w:rsid w:val="00A02B79"/>
    <w:rsid w:val="00B534B1"/>
    <w:rsid w:val="00C82D28"/>
    <w:rsid w:val="00C83111"/>
    <w:rsid w:val="00CB79AF"/>
    <w:rsid w:val="00CE7A42"/>
    <w:rsid w:val="00E81D15"/>
    <w:rsid w:val="00E84218"/>
    <w:rsid w:val="00ED7D16"/>
    <w:rsid w:val="00EF5AA6"/>
    <w:rsid w:val="00FA7E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A5F87"/>
  <w15:docId w15:val="{D5E148BC-CA97-4876-BD0E-71D5A2E65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C82D2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02B79"/>
    <w:pPr>
      <w:ind w:left="720"/>
      <w:contextualSpacing/>
    </w:pPr>
  </w:style>
  <w:style w:type="character" w:customStyle="1" w:styleId="st1">
    <w:name w:val="st1"/>
    <w:basedOn w:val="Absatz-Standardschriftart"/>
    <w:rsid w:val="00EF5AA6"/>
  </w:style>
  <w:style w:type="character" w:styleId="Hyperlink">
    <w:name w:val="Hyperlink"/>
    <w:basedOn w:val="Absatz-Standardschriftart"/>
    <w:uiPriority w:val="99"/>
    <w:unhideWhenUsed/>
    <w:rsid w:val="00840AA8"/>
    <w:rPr>
      <w:color w:val="0000FF" w:themeColor="hyperlink"/>
      <w:u w:val="single"/>
    </w:rPr>
  </w:style>
  <w:style w:type="paragraph" w:styleId="Kopfzeile">
    <w:name w:val="header"/>
    <w:basedOn w:val="Standard"/>
    <w:link w:val="KopfzeileZchn"/>
    <w:uiPriority w:val="99"/>
    <w:unhideWhenUsed/>
    <w:rsid w:val="008D2A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2A60"/>
  </w:style>
  <w:style w:type="paragraph" w:styleId="Fuzeile">
    <w:name w:val="footer"/>
    <w:basedOn w:val="Standard"/>
    <w:link w:val="FuzeileZchn"/>
    <w:uiPriority w:val="99"/>
    <w:unhideWhenUsed/>
    <w:rsid w:val="008D2A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2A60"/>
  </w:style>
  <w:style w:type="paragraph" w:styleId="Sprechblasentext">
    <w:name w:val="Balloon Text"/>
    <w:basedOn w:val="Standard"/>
    <w:link w:val="SprechblasentextZchn"/>
    <w:uiPriority w:val="99"/>
    <w:semiHidden/>
    <w:unhideWhenUsed/>
    <w:rsid w:val="004B68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682B"/>
    <w:rPr>
      <w:rFonts w:ascii="Tahoma" w:hAnsi="Tahoma" w:cs="Tahoma"/>
      <w:sz w:val="16"/>
      <w:szCs w:val="16"/>
    </w:rPr>
  </w:style>
  <w:style w:type="character" w:customStyle="1" w:styleId="berschrift2Zchn">
    <w:name w:val="Überschrift 2 Zchn"/>
    <w:basedOn w:val="Absatz-Standardschriftart"/>
    <w:link w:val="berschrift2"/>
    <w:uiPriority w:val="9"/>
    <w:rsid w:val="00C82D28"/>
    <w:rPr>
      <w:rFonts w:asciiTheme="majorHAnsi" w:eastAsiaTheme="majorEastAsia" w:hAnsiTheme="majorHAnsi" w:cstheme="majorBidi"/>
      <w:b/>
      <w:bCs/>
      <w:color w:val="4F81BD" w:themeColor="accent1"/>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57390">
      <w:bodyDiv w:val="1"/>
      <w:marLeft w:val="0"/>
      <w:marRight w:val="0"/>
      <w:marTop w:val="0"/>
      <w:marBottom w:val="0"/>
      <w:divBdr>
        <w:top w:val="none" w:sz="0" w:space="0" w:color="auto"/>
        <w:left w:val="none" w:sz="0" w:space="0" w:color="auto"/>
        <w:bottom w:val="none" w:sz="0" w:space="0" w:color="auto"/>
        <w:right w:val="none" w:sz="0" w:space="0" w:color="auto"/>
      </w:divBdr>
    </w:div>
    <w:div w:id="698552681">
      <w:bodyDiv w:val="1"/>
      <w:marLeft w:val="0"/>
      <w:marRight w:val="0"/>
      <w:marTop w:val="0"/>
      <w:marBottom w:val="0"/>
      <w:divBdr>
        <w:top w:val="none" w:sz="0" w:space="0" w:color="auto"/>
        <w:left w:val="none" w:sz="0" w:space="0" w:color="auto"/>
        <w:bottom w:val="none" w:sz="0" w:space="0" w:color="auto"/>
        <w:right w:val="none" w:sz="0" w:space="0" w:color="auto"/>
      </w:divBdr>
    </w:div>
    <w:div w:id="1015424796">
      <w:bodyDiv w:val="1"/>
      <w:marLeft w:val="0"/>
      <w:marRight w:val="0"/>
      <w:marTop w:val="0"/>
      <w:marBottom w:val="0"/>
      <w:divBdr>
        <w:top w:val="none" w:sz="0" w:space="0" w:color="auto"/>
        <w:left w:val="none" w:sz="0" w:space="0" w:color="auto"/>
        <w:bottom w:val="none" w:sz="0" w:space="0" w:color="auto"/>
        <w:right w:val="none" w:sz="0" w:space="0" w:color="auto"/>
      </w:divBdr>
      <w:divsChild>
        <w:div w:id="2038385951">
          <w:marLeft w:val="0"/>
          <w:marRight w:val="0"/>
          <w:marTop w:val="0"/>
          <w:marBottom w:val="0"/>
          <w:divBdr>
            <w:top w:val="none" w:sz="0" w:space="0" w:color="auto"/>
            <w:left w:val="none" w:sz="0" w:space="0" w:color="auto"/>
            <w:bottom w:val="none" w:sz="0" w:space="0" w:color="auto"/>
            <w:right w:val="none" w:sz="0" w:space="0" w:color="auto"/>
          </w:divBdr>
          <w:divsChild>
            <w:div w:id="702634720">
              <w:marLeft w:val="0"/>
              <w:marRight w:val="0"/>
              <w:marTop w:val="0"/>
              <w:marBottom w:val="0"/>
              <w:divBdr>
                <w:top w:val="none" w:sz="0" w:space="0" w:color="auto"/>
                <w:left w:val="none" w:sz="0" w:space="0" w:color="auto"/>
                <w:bottom w:val="none" w:sz="0" w:space="0" w:color="auto"/>
                <w:right w:val="none" w:sz="0" w:space="0" w:color="auto"/>
              </w:divBdr>
              <w:divsChild>
                <w:div w:id="1447697571">
                  <w:marLeft w:val="0"/>
                  <w:marRight w:val="0"/>
                  <w:marTop w:val="0"/>
                  <w:marBottom w:val="0"/>
                  <w:divBdr>
                    <w:top w:val="none" w:sz="0" w:space="0" w:color="auto"/>
                    <w:left w:val="none" w:sz="0" w:space="0" w:color="auto"/>
                    <w:bottom w:val="none" w:sz="0" w:space="0" w:color="auto"/>
                    <w:right w:val="none" w:sz="0" w:space="0" w:color="auto"/>
                  </w:divBdr>
                  <w:divsChild>
                    <w:div w:id="2128429920">
                      <w:marLeft w:val="0"/>
                      <w:marRight w:val="0"/>
                      <w:marTop w:val="0"/>
                      <w:marBottom w:val="0"/>
                      <w:divBdr>
                        <w:top w:val="none" w:sz="0" w:space="0" w:color="auto"/>
                        <w:left w:val="none" w:sz="0" w:space="0" w:color="auto"/>
                        <w:bottom w:val="none" w:sz="0" w:space="0" w:color="auto"/>
                        <w:right w:val="none" w:sz="0" w:space="0" w:color="auto"/>
                      </w:divBdr>
                      <w:divsChild>
                        <w:div w:id="1199969071">
                          <w:marLeft w:val="0"/>
                          <w:marRight w:val="0"/>
                          <w:marTop w:val="0"/>
                          <w:marBottom w:val="0"/>
                          <w:divBdr>
                            <w:top w:val="none" w:sz="0" w:space="0" w:color="auto"/>
                            <w:left w:val="none" w:sz="0" w:space="0" w:color="auto"/>
                            <w:bottom w:val="none" w:sz="0" w:space="0" w:color="auto"/>
                            <w:right w:val="none" w:sz="0" w:space="0" w:color="auto"/>
                          </w:divBdr>
                          <w:divsChild>
                            <w:div w:id="1411152996">
                              <w:marLeft w:val="0"/>
                              <w:marRight w:val="0"/>
                              <w:marTop w:val="0"/>
                              <w:marBottom w:val="0"/>
                              <w:divBdr>
                                <w:top w:val="none" w:sz="0" w:space="0" w:color="auto"/>
                                <w:left w:val="none" w:sz="0" w:space="0" w:color="auto"/>
                                <w:bottom w:val="none" w:sz="0" w:space="0" w:color="auto"/>
                                <w:right w:val="none" w:sz="0" w:space="0" w:color="auto"/>
                              </w:divBdr>
                              <w:divsChild>
                                <w:div w:id="1928221774">
                                  <w:marLeft w:val="0"/>
                                  <w:marRight w:val="0"/>
                                  <w:marTop w:val="0"/>
                                  <w:marBottom w:val="0"/>
                                  <w:divBdr>
                                    <w:top w:val="none" w:sz="0" w:space="0" w:color="auto"/>
                                    <w:left w:val="none" w:sz="0" w:space="0" w:color="auto"/>
                                    <w:bottom w:val="none" w:sz="0" w:space="0" w:color="auto"/>
                                    <w:right w:val="none" w:sz="0" w:space="0" w:color="auto"/>
                                  </w:divBdr>
                                  <w:divsChild>
                                    <w:div w:id="442262521">
                                      <w:marLeft w:val="60"/>
                                      <w:marRight w:val="0"/>
                                      <w:marTop w:val="0"/>
                                      <w:marBottom w:val="0"/>
                                      <w:divBdr>
                                        <w:top w:val="none" w:sz="0" w:space="0" w:color="auto"/>
                                        <w:left w:val="none" w:sz="0" w:space="0" w:color="auto"/>
                                        <w:bottom w:val="none" w:sz="0" w:space="0" w:color="auto"/>
                                        <w:right w:val="none" w:sz="0" w:space="0" w:color="auto"/>
                                      </w:divBdr>
                                      <w:divsChild>
                                        <w:div w:id="477964935">
                                          <w:marLeft w:val="0"/>
                                          <w:marRight w:val="0"/>
                                          <w:marTop w:val="0"/>
                                          <w:marBottom w:val="0"/>
                                          <w:divBdr>
                                            <w:top w:val="none" w:sz="0" w:space="0" w:color="auto"/>
                                            <w:left w:val="none" w:sz="0" w:space="0" w:color="auto"/>
                                            <w:bottom w:val="none" w:sz="0" w:space="0" w:color="auto"/>
                                            <w:right w:val="none" w:sz="0" w:space="0" w:color="auto"/>
                                          </w:divBdr>
                                          <w:divsChild>
                                            <w:div w:id="18892752">
                                              <w:marLeft w:val="0"/>
                                              <w:marRight w:val="0"/>
                                              <w:marTop w:val="0"/>
                                              <w:marBottom w:val="120"/>
                                              <w:divBdr>
                                                <w:top w:val="single" w:sz="6" w:space="0" w:color="F5F5F5"/>
                                                <w:left w:val="single" w:sz="6" w:space="0" w:color="F5F5F5"/>
                                                <w:bottom w:val="single" w:sz="6" w:space="0" w:color="F5F5F5"/>
                                                <w:right w:val="single" w:sz="6" w:space="0" w:color="F5F5F5"/>
                                              </w:divBdr>
                                              <w:divsChild>
                                                <w:div w:id="1119452279">
                                                  <w:marLeft w:val="0"/>
                                                  <w:marRight w:val="0"/>
                                                  <w:marTop w:val="0"/>
                                                  <w:marBottom w:val="0"/>
                                                  <w:divBdr>
                                                    <w:top w:val="none" w:sz="0" w:space="0" w:color="auto"/>
                                                    <w:left w:val="none" w:sz="0" w:space="0" w:color="auto"/>
                                                    <w:bottom w:val="none" w:sz="0" w:space="0" w:color="auto"/>
                                                    <w:right w:val="none" w:sz="0" w:space="0" w:color="auto"/>
                                                  </w:divBdr>
                                                  <w:divsChild>
                                                    <w:div w:id="1824467769">
                                                      <w:marLeft w:val="0"/>
                                                      <w:marRight w:val="0"/>
                                                      <w:marTop w:val="0"/>
                                                      <w:marBottom w:val="0"/>
                                                      <w:divBdr>
                                                        <w:top w:val="none" w:sz="0" w:space="0" w:color="auto"/>
                                                        <w:left w:val="none" w:sz="0" w:space="0" w:color="auto"/>
                                                        <w:bottom w:val="none" w:sz="0" w:space="0" w:color="auto"/>
                                                        <w:right w:val="none" w:sz="0" w:space="0" w:color="auto"/>
                                                      </w:divBdr>
                                                    </w:div>
                                                  </w:divsChild>
                                                </w:div>
                                                <w:div w:id="1025056296">
                                                  <w:marLeft w:val="0"/>
                                                  <w:marRight w:val="0"/>
                                                  <w:marTop w:val="0"/>
                                                  <w:marBottom w:val="0"/>
                                                  <w:divBdr>
                                                    <w:top w:val="none" w:sz="0" w:space="0" w:color="auto"/>
                                                    <w:left w:val="none" w:sz="0" w:space="0" w:color="auto"/>
                                                    <w:bottom w:val="none" w:sz="0" w:space="0" w:color="auto"/>
                                                    <w:right w:val="none" w:sz="0" w:space="0" w:color="auto"/>
                                                  </w:divBdr>
                                                  <w:divsChild>
                                                    <w:div w:id="43791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skime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1501</Words>
  <Characters>9460</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Tilak GmbH</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Hepatologisches Labor</dc:creator>
  <cp:lastModifiedBy>Benedikt S.</cp:lastModifiedBy>
  <cp:revision>2</cp:revision>
  <cp:lastPrinted>2014-11-18T17:36:00Z</cp:lastPrinted>
  <dcterms:created xsi:type="dcterms:W3CDTF">2017-01-08T11:58:00Z</dcterms:created>
  <dcterms:modified xsi:type="dcterms:W3CDTF">2017-01-08T11:58:00Z</dcterms:modified>
</cp:coreProperties>
</file>